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b/>
          <w:color w:val="1FA987"/>
          <w:sz w:val="28"/>
        </w:rPr>
        <w:t>AssureLoom</w:t>
      </w:r>
    </w:p>
    <w:p>
      <w:pPr>
        <w:spacing w:after="80"/>
      </w:pPr>
      <w:r>
        <w:rPr>
          <w:b/>
          <w:color w:val="0B3B3C"/>
          <w:sz w:val="68"/>
        </w:rPr>
        <w:t>Compliance Assessment SOP</w:t>
      </w:r>
    </w:p>
    <w:p>
      <w:r>
        <w:rPr>
          <w:color w:val="55656B"/>
          <w:sz w:val="26"/>
        </w:rPr>
        <w:t>How to assess ISO/IEC 27001, SOC 2, NIST CSF, CIS Controls and DPDP (India), what evidence to capture, and how each item is validated</w:t>
      </w:r>
    </w:p>
    <w:p/>
    <w:p/>
    <w:p/>
    <w:tbl>
      <w:tblPr>
        <w:tblW w:type="auto" w:w="0"/>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c>
          <w:tcPr>
            <w:tcW w:type="dxa" w:w="2041"/>
            <w:shd w:val="clear" w:color="auto" w:fill="F2F7F6"/>
            <w:tcMar>
              <w:top w:w="60" w:type="dxa"/>
              <w:left w:w="90" w:type="dxa"/>
              <w:bottom w:w="60" w:type="dxa"/>
              <w:right w:w="90" w:type="dxa"/>
            </w:tcMar>
          </w:tcPr>
          <w:p>
            <w:pPr>
              <w:spacing w:after="0"/>
            </w:pPr>
            <w:r>
              <w:rPr>
                <w:b/>
                <w:sz w:val="20"/>
              </w:rPr>
              <w:t>Audience</w:t>
            </w:r>
          </w:p>
        </w:tc>
        <w:tc>
          <w:tcPr>
            <w:tcW w:type="dxa" w:w="7597"/>
            <w:tcMar>
              <w:top w:w="60" w:type="dxa"/>
              <w:left w:w="90" w:type="dxa"/>
              <w:bottom w:w="60" w:type="dxa"/>
              <w:right w:w="90" w:type="dxa"/>
            </w:tcMar>
          </w:tcPr>
          <w:p>
            <w:pPr>
              <w:spacing w:after="0"/>
            </w:pPr>
            <w:r>
              <w:rPr>
                <w:sz w:val="20"/>
              </w:rPr>
              <w:t>Customer administrators, control owners and reviewers; AssureLoom staff running a trial</w:t>
            </w:r>
          </w:p>
        </w:tc>
      </w:tr>
      <w:tr>
        <w:tc>
          <w:tcPr>
            <w:tcW w:type="dxa" w:w="2041"/>
            <w:shd w:val="clear" w:color="auto" w:fill="F2F7F6"/>
            <w:tcMar>
              <w:top w:w="60" w:type="dxa"/>
              <w:left w:w="90" w:type="dxa"/>
              <w:bottom w:w="60" w:type="dxa"/>
              <w:right w:w="90" w:type="dxa"/>
            </w:tcMar>
          </w:tcPr>
          <w:p>
            <w:pPr>
              <w:spacing w:after="0"/>
            </w:pPr>
            <w:r>
              <w:rPr>
                <w:b/>
                <w:sz w:val="20"/>
              </w:rPr>
              <w:t>Frameworks</w:t>
            </w:r>
          </w:p>
        </w:tc>
        <w:tc>
          <w:tcPr>
            <w:tcW w:type="dxa" w:w="7597"/>
            <w:tcMar>
              <w:top w:w="60" w:type="dxa"/>
              <w:left w:w="90" w:type="dxa"/>
              <w:bottom w:w="60" w:type="dxa"/>
              <w:right w:w="90" w:type="dxa"/>
            </w:tcMar>
          </w:tcPr>
          <w:p>
            <w:pPr>
              <w:spacing w:after="0"/>
            </w:pPr>
            <w:r>
              <w:rPr>
                <w:sz w:val="20"/>
              </w:rPr>
              <w:t>ISO/IEC 27001:2022, SOC 2 (2017 TSC), NIST CSF 2.0, CIS Controls 8.1, DPDP Act and Rules 2025</w:t>
            </w:r>
          </w:p>
        </w:tc>
      </w:tr>
      <w:tr>
        <w:tc>
          <w:tcPr>
            <w:tcW w:type="dxa" w:w="2041"/>
            <w:shd w:val="clear" w:color="auto" w:fill="F2F7F6"/>
            <w:tcMar>
              <w:top w:w="60" w:type="dxa"/>
              <w:left w:w="90" w:type="dxa"/>
              <w:bottom w:w="60" w:type="dxa"/>
              <w:right w:w="90" w:type="dxa"/>
            </w:tcMar>
          </w:tcPr>
          <w:p>
            <w:pPr>
              <w:spacing w:after="0"/>
            </w:pPr>
            <w:r>
              <w:rPr>
                <w:b/>
                <w:sz w:val="20"/>
              </w:rPr>
              <w:t>Product</w:t>
            </w:r>
          </w:p>
        </w:tc>
        <w:tc>
          <w:tcPr>
            <w:tcW w:type="dxa" w:w="7597"/>
            <w:tcMar>
              <w:top w:w="60" w:type="dxa"/>
              <w:left w:w="90" w:type="dxa"/>
              <w:bottom w:w="60" w:type="dxa"/>
              <w:right w:w="90" w:type="dxa"/>
            </w:tcMar>
          </w:tcPr>
          <w:p>
            <w:pPr>
              <w:spacing w:after="0"/>
            </w:pPr>
            <w:r>
              <w:rPr>
                <w:sz w:val="20"/>
              </w:rPr>
              <w:t>https://app.assureloom.com</w:t>
            </w:r>
          </w:p>
        </w:tc>
      </w:tr>
      <w:tr>
        <w:tc>
          <w:tcPr>
            <w:tcW w:type="dxa" w:w="2041"/>
            <w:shd w:val="clear" w:color="auto" w:fill="F2F7F6"/>
            <w:tcMar>
              <w:top w:w="60" w:type="dxa"/>
              <w:left w:w="90" w:type="dxa"/>
              <w:bottom w:w="60" w:type="dxa"/>
              <w:right w:w="90" w:type="dxa"/>
            </w:tcMar>
          </w:tcPr>
          <w:p>
            <w:pPr>
              <w:spacing w:after="0"/>
            </w:pPr>
            <w:r>
              <w:rPr>
                <w:b/>
                <w:sz w:val="20"/>
              </w:rPr>
              <w:t>Version</w:t>
            </w:r>
          </w:p>
        </w:tc>
        <w:tc>
          <w:tcPr>
            <w:tcW w:type="dxa" w:w="7597"/>
            <w:tcMar>
              <w:top w:w="60" w:type="dxa"/>
              <w:left w:w="90" w:type="dxa"/>
              <w:bottom w:w="60" w:type="dxa"/>
              <w:right w:w="90" w:type="dxa"/>
            </w:tcMar>
          </w:tcPr>
          <w:p>
            <w:pPr>
              <w:spacing w:after="0"/>
            </w:pPr>
            <w:r>
              <w:rPr>
                <w:sz w:val="20"/>
              </w:rPr>
              <w:t>1.0</w:t>
            </w:r>
          </w:p>
        </w:tc>
      </w:tr>
      <w:tr>
        <w:tc>
          <w:tcPr>
            <w:tcW w:type="dxa" w:w="2041"/>
            <w:shd w:val="clear" w:color="auto" w:fill="F2F7F6"/>
            <w:tcMar>
              <w:top w:w="60" w:type="dxa"/>
              <w:left w:w="90" w:type="dxa"/>
              <w:bottom w:w="60" w:type="dxa"/>
              <w:right w:w="90" w:type="dxa"/>
            </w:tcMar>
          </w:tcPr>
          <w:p>
            <w:pPr>
              <w:spacing w:after="0"/>
            </w:pPr>
            <w:r>
              <w:rPr>
                <w:b/>
                <w:sz w:val="20"/>
              </w:rPr>
              <w:t>Date</w:t>
            </w:r>
          </w:p>
        </w:tc>
        <w:tc>
          <w:tcPr>
            <w:tcW w:type="dxa" w:w="7597"/>
            <w:tcMar>
              <w:top w:w="60" w:type="dxa"/>
              <w:left w:w="90" w:type="dxa"/>
              <w:bottom w:w="60" w:type="dxa"/>
              <w:right w:w="90" w:type="dxa"/>
            </w:tcMar>
          </w:tcPr>
          <w:p>
            <w:pPr>
              <w:spacing w:after="0"/>
            </w:pPr>
            <w:r>
              <w:rPr>
                <w:sz w:val="20"/>
              </w:rPr>
              <w:t>28 October 2026</w:t>
            </w:r>
          </w:p>
        </w:tc>
      </w:tr>
      <w:tr>
        <w:tc>
          <w:tcPr>
            <w:tcW w:type="dxa" w:w="2041"/>
            <w:shd w:val="clear" w:color="auto" w:fill="F2F7F6"/>
            <w:tcMar>
              <w:top w:w="60" w:type="dxa"/>
              <w:left w:w="90" w:type="dxa"/>
              <w:bottom w:w="60" w:type="dxa"/>
              <w:right w:w="90" w:type="dxa"/>
            </w:tcMar>
          </w:tcPr>
          <w:p>
            <w:pPr>
              <w:spacing w:after="0"/>
            </w:pPr>
            <w:r>
              <w:rPr>
                <w:b/>
                <w:sz w:val="20"/>
              </w:rPr>
              <w:t>Status</w:t>
            </w:r>
          </w:p>
        </w:tc>
        <w:tc>
          <w:tcPr>
            <w:tcW w:type="dxa" w:w="7597"/>
            <w:tcMar>
              <w:top w:w="60" w:type="dxa"/>
              <w:left w:w="90" w:type="dxa"/>
              <w:bottom w:w="60" w:type="dxa"/>
              <w:right w:w="90" w:type="dxa"/>
            </w:tcMar>
          </w:tcPr>
          <w:p>
            <w:pPr>
              <w:spacing w:after="0"/>
            </w:pPr>
            <w:r>
              <w:rPr>
                <w:sz w:val="20"/>
              </w:rPr>
              <w:t>Issued for trial use. Review every quarter and after any framework update.</w:t>
            </w:r>
          </w:p>
        </w:tc>
      </w:tr>
    </w:tbl>
    <w:p/>
    <w:p>
      <w:r>
        <w:rPr>
          <w:color w:val="55656B"/>
          <w:sz w:val="19"/>
        </w:rPr>
        <w:t>AssureLoom measures readiness. A result is never a certification, an attestation or legal advice.</w:t>
      </w:r>
    </w:p>
    <w:p>
      <w:r>
        <w:br w:type="page"/>
      </w:r>
    </w:p>
    <w:p>
      <w:pPr>
        <w:pStyle w:val="Heading1"/>
      </w:pPr>
      <w:r>
        <w:t>Contents</w:t>
      </w:r>
    </w:p>
    <w:p>
      <w:r>
        <w:fldChar w:fldCharType="begin"/>
        <w:instrText xml:space="preserve">TOC \o "1-2" \h \z \u</w:instrText>
        <w:fldChar w:fldCharType="separate"/>
        <w:t>Right-click and choose Update field.</w:t>
        <w:fldChar w:fldCharType="end"/>
      </w:r>
    </w:p>
    <w:p>
      <w:r>
        <w:rPr>
          <w:color w:val="55656B"/>
          <w:sz w:val="18"/>
        </w:rPr>
        <w:t>If the list above is empty, press Ctrl+A then F9 in Word to build it.</w:t>
      </w:r>
    </w:p>
    <w:p>
      <w:r>
        <w:br w:type="page"/>
      </w:r>
    </w:p>
    <w:p>
      <w:pPr>
        <w:pStyle w:val="Heading1"/>
      </w:pPr>
      <w:r>
        <w:t>Part 1: Quick start and test plan</w:t>
      </w:r>
    </w:p>
    <w:p>
      <w:r>
        <w:t xml:space="preserve">For the detailed method per framework (what to capture, how it is validated), see </w:t>
      </w:r>
      <w:r>
        <w:rPr>
          <w:color w:val="0B5E4F"/>
          <w:u w:val="single"/>
        </w:rPr>
        <w:t>framework-assessment-sop.md</w:t>
      </w:r>
      <w:r>
        <w:t>.</w:t>
      </w:r>
    </w:p>
    <w:p>
      <w:r>
        <w:t>AssureLoom checks readiness. A result is never a certification or an audit opinion.</w:t>
      </w:r>
    </w:p>
    <w:p>
      <w:pPr>
        <w:pStyle w:val="Heading2"/>
      </w:pPr>
      <w:r>
        <w:t>0. Before you start</w:t>
      </w:r>
    </w:p>
    <w:p>
      <w:pPr>
        <w:pStyle w:val="ListBullet"/>
        <w:spacing w:after="60"/>
      </w:pPr>
      <w:r>
        <w:t xml:space="preserve">You have your organisation's </w:t>
      </w:r>
      <w:r>
        <w:rPr>
          <w:b/>
        </w:rPr>
        <w:t>sign-in name</w:t>
      </w:r>
      <w:r>
        <w:t xml:space="preserve"> (the company name you type at sign-in, for example </w:t>
      </w:r>
      <w:r>
        <w:rPr>
          <w:rFonts w:ascii="Consolas" w:hAnsi="Consolas" w:eastAsia="Consolas"/>
          <w:color w:val="0B5E4F"/>
        </w:rPr>
        <w:t>consultedge-global</w:t>
      </w:r>
      <w:r>
        <w:t>), your email and your password.</w:t>
      </w:r>
    </w:p>
    <w:p>
      <w:pPr>
        <w:pStyle w:val="ListBullet"/>
        <w:spacing w:after="60"/>
      </w:pPr>
      <w:r>
        <w:t>If two-step sign-in is on, have your authenticator app ready (Microsoft Authenticator, Google Authenticator and others all work).</w:t>
      </w:r>
    </w:p>
    <w:p>
      <w:pPr>
        <w:pStyle w:val="ListBullet"/>
        <w:spacing w:after="60"/>
      </w:pPr>
      <w:r>
        <w:t>Use test or non-confidential documents until you are comfortable. Uploaded files are scanned before they are accepted.</w:t>
      </w:r>
    </w:p>
    <w:p>
      <w:pPr>
        <w:pStyle w:val="Heading2"/>
      </w:pPr>
      <w:r>
        <w:t>1. Sign in and look around (10 minutes)</w:t>
      </w:r>
    </w:p>
    <w:p>
      <w:pPr>
        <w:spacing w:after="60"/>
        <w:ind w:left="510" w:hanging="340"/>
      </w:pPr>
      <w:r>
        <w:rPr>
          <w:b/>
          <w:color w:val="0B3B3C"/>
        </w:rPr>
        <w:t xml:space="preserve">1.  </w:t>
      </w:r>
      <w:r>
        <w:t xml:space="preserve">Open </w:t>
      </w:r>
      <w:r>
        <w:rPr>
          <w:rFonts w:ascii="Consolas" w:hAnsi="Consolas" w:eastAsia="Consolas"/>
          <w:color w:val="0B5E4F"/>
        </w:rPr>
        <w:t>https://app.assureloom.com</w:t>
      </w:r>
      <w:r>
        <w:t xml:space="preserve"> and sign in with the company name, email and password.</w:t>
      </w:r>
    </w:p>
    <w:p>
      <w:pPr>
        <w:spacing w:after="60"/>
        <w:ind w:left="510" w:hanging="340"/>
      </w:pPr>
      <w:r>
        <w:rPr>
          <w:b/>
          <w:color w:val="0B3B3C"/>
        </w:rPr>
        <w:t xml:space="preserve">2.  </w:t>
      </w:r>
      <w:r>
        <w:t>Enter the 6-digit code if asked. If you type the code into the password box on a confirmation screen, the app tells you and moves it for you.</w:t>
      </w:r>
    </w:p>
    <w:p>
      <w:pPr>
        <w:spacing w:after="60"/>
        <w:ind w:left="510" w:hanging="340"/>
      </w:pPr>
      <w:r>
        <w:rPr>
          <w:b/>
          <w:color w:val="0B3B3C"/>
        </w:rPr>
        <w:t xml:space="preserve">3.  </w:t>
      </w:r>
      <w:r>
        <w:t xml:space="preserve">The left menu has five groups: </w:t>
      </w:r>
      <w:r>
        <w:rPr>
          <w:b/>
        </w:rPr>
        <w:t>Overview</w:t>
      </w:r>
      <w:r>
        <w:t xml:space="preserve">, </w:t>
      </w:r>
      <w:r>
        <w:rPr>
          <w:b/>
        </w:rPr>
        <w:t>Compliance management</w:t>
      </w:r>
      <w:r>
        <w:t xml:space="preserve">, </w:t>
      </w:r>
      <w:r>
        <w:rPr>
          <w:b/>
        </w:rPr>
        <w:t>Risk &amp; assurance</w:t>
      </w:r>
      <w:r>
        <w:t xml:space="preserve">, </w:t>
      </w:r>
      <w:r>
        <w:rPr>
          <w:b/>
        </w:rPr>
        <w:t>Technology &amp; integrations</w:t>
      </w:r>
      <w:r>
        <w:t xml:space="preserve">, </w:t>
      </w:r>
      <w:r>
        <w:rPr>
          <w:b/>
        </w:rPr>
        <w:t>Administration</w:t>
      </w:r>
      <w:r>
        <w:t>. Click a group name to fold it. Entries you do not see are ones your role does not allow.</w:t>
      </w:r>
    </w:p>
    <w:p>
      <w:r>
        <w:rPr>
          <w:b/>
        </w:rPr>
        <w:t>Check:</w:t>
      </w:r>
      <w:r>
        <w:t xml:space="preserve"> you reach the Dashboard and see your organisation name at the top of the menu.</w:t>
      </w:r>
    </w:p>
    <w:p>
      <w:pPr>
        <w:pStyle w:val="Heading2"/>
      </w:pPr>
      <w:r>
        <w:t>2. Choose the framework (10 minutes)</w:t>
      </w:r>
    </w:p>
    <w:p>
      <w:pPr>
        <w:spacing w:after="60"/>
        <w:ind w:left="510" w:hanging="340"/>
      </w:pPr>
      <w:r>
        <w:rPr>
          <w:b/>
          <w:color w:val="0B3B3C"/>
        </w:rPr>
        <w:t xml:space="preserve">1.  </w:t>
      </w:r>
      <w:r>
        <w:t xml:space="preserve">Open </w:t>
      </w:r>
      <w:r>
        <w:rPr>
          <w:b/>
        </w:rPr>
        <w:t>Compliance management → Framework library</w:t>
      </w:r>
      <w:r>
        <w:t>.</w:t>
      </w:r>
    </w:p>
    <w:p>
      <w:pPr>
        <w:spacing w:after="60"/>
        <w:ind w:left="510" w:hanging="340"/>
      </w:pPr>
      <w:r>
        <w:rPr>
          <w:b/>
          <w:color w:val="0B3B3C"/>
        </w:rPr>
        <w:t xml:space="preserve">2.  </w:t>
      </w:r>
      <w:r>
        <w:t>Pick the framework you are testing and select it for your organisation. Your trial limits show how many frameworks you can use.</w:t>
      </w:r>
    </w:p>
    <w:p>
      <w:pPr>
        <w:spacing w:after="60"/>
        <w:ind w:left="510" w:hanging="340"/>
      </w:pPr>
      <w:r>
        <w:rPr>
          <w:b/>
          <w:color w:val="0B3B3C"/>
        </w:rPr>
        <w:t xml:space="preserve">3.  </w:t>
      </w:r>
      <w:r>
        <w:t xml:space="preserve">Open </w:t>
      </w:r>
      <w:r>
        <w:rPr>
          <w:b/>
        </w:rPr>
        <w:t>Industry verticals</w:t>
      </w:r>
      <w:r>
        <w:t xml:space="preserve"> if your sector has extra requirements, and select the ones that apply.</w:t>
      </w:r>
    </w:p>
    <w:p>
      <w:r>
        <w:rPr>
          <w:b/>
        </w:rPr>
        <w:t>Check:</w:t>
      </w:r>
      <w:r>
        <w:t xml:space="preserve"> the framework appears as selected, and the Dashboard now shows it.</w:t>
      </w:r>
    </w:p>
    <w:p>
      <w:pPr>
        <w:pStyle w:val="Heading2"/>
      </w:pPr>
      <w:r>
        <w:t>3. Add your people (10 minutes)</w:t>
      </w:r>
    </w:p>
    <w:p>
      <w:pPr>
        <w:spacing w:after="60"/>
        <w:ind w:left="510" w:hanging="340"/>
      </w:pPr>
      <w:r>
        <w:rPr>
          <w:b/>
          <w:color w:val="0B3B3C"/>
        </w:rPr>
        <w:t xml:space="preserve">1.  </w:t>
      </w:r>
      <w:r>
        <w:t xml:space="preserve">Open </w:t>
      </w:r>
      <w:r>
        <w:rPr>
          <w:b/>
        </w:rPr>
        <w:t>Administration → Users &amp; roles → Add person</w:t>
      </w:r>
      <w:r>
        <w:t>.</w:t>
      </w:r>
    </w:p>
    <w:p>
      <w:pPr>
        <w:spacing w:after="60"/>
        <w:ind w:left="510" w:hanging="340"/>
      </w:pPr>
      <w:r>
        <w:rPr>
          <w:b/>
          <w:color w:val="0B3B3C"/>
        </w:rPr>
        <w:t xml:space="preserve">2.  </w:t>
      </w:r>
      <w:r>
        <w:t>Give each person the smallest role that lets them do their job: Company Admin, reviewer, auditor (read-only) or employee.</w:t>
      </w:r>
    </w:p>
    <w:p>
      <w:pPr>
        <w:spacing w:after="60"/>
        <w:ind w:left="510" w:hanging="340"/>
      </w:pPr>
      <w:r>
        <w:rPr>
          <w:b/>
          <w:color w:val="0B3B3C"/>
        </w:rPr>
        <w:t xml:space="preserve">3.  </w:t>
      </w:r>
      <w:r>
        <w:t>They receive a one-time link and set their own password. Passwords are never shared in email or chat.</w:t>
      </w:r>
    </w:p>
    <w:p>
      <w:r>
        <w:rPr>
          <w:b/>
        </w:rPr>
        <w:t>Check:</w:t>
      </w:r>
      <w:r>
        <w:t xml:space="preserve"> each person can sign in and sees only the menu entries for their role.</w:t>
      </w:r>
    </w:p>
    <w:p>
      <w:pPr>
        <w:pStyle w:val="Heading2"/>
      </w:pPr>
      <w:r>
        <w:t>4. Run the assessment (20 minutes)</w:t>
      </w:r>
    </w:p>
    <w:p>
      <w:pPr>
        <w:spacing w:after="60"/>
        <w:ind w:left="510" w:hanging="340"/>
      </w:pPr>
      <w:r>
        <w:rPr>
          <w:b/>
          <w:color w:val="0B3B3C"/>
        </w:rPr>
        <w:t xml:space="preserve">1.  </w:t>
      </w:r>
      <w:r>
        <w:t xml:space="preserve">Open </w:t>
      </w:r>
      <w:r>
        <w:rPr>
          <w:b/>
        </w:rPr>
        <w:t>Compliance management → Assessments</w:t>
      </w:r>
      <w:r>
        <w:t>.</w:t>
      </w:r>
    </w:p>
    <w:p>
      <w:pPr>
        <w:spacing w:after="60"/>
        <w:ind w:left="510" w:hanging="340"/>
      </w:pPr>
      <w:r>
        <w:rPr>
          <w:b/>
          <w:color w:val="0B3B3C"/>
        </w:rPr>
        <w:t xml:space="preserve">2.  </w:t>
      </w:r>
      <w:r>
        <w:t>Start an assessment for the selected framework. Automated checks run against connected systems, and the rest are questions for a person.</w:t>
      </w:r>
    </w:p>
    <w:p>
      <w:pPr>
        <w:spacing w:after="60"/>
        <w:ind w:left="510" w:hanging="340"/>
      </w:pPr>
      <w:r>
        <w:rPr>
          <w:b/>
          <w:color w:val="0B3B3C"/>
        </w:rPr>
        <w:t xml:space="preserve">3.  </w:t>
      </w:r>
      <w:r>
        <w:t>Answer each question honestly. Add a short note for anything you answer "partly" or "no".</w:t>
      </w:r>
    </w:p>
    <w:p>
      <w:r>
        <w:rPr>
          <w:b/>
        </w:rPr>
        <w:t>Check:</w:t>
      </w:r>
      <w:r>
        <w:t xml:space="preserve"> the assessment shows a score and a list of requirements by status (met, partly met, not met, not applicable).</w:t>
      </w:r>
    </w:p>
    <w:p>
      <w:pPr>
        <w:pStyle w:val="Heading2"/>
      </w:pPr>
      <w:r>
        <w:t>5. Connect your systems (optional, 20 minutes)</w:t>
      </w:r>
    </w:p>
    <w:p>
      <w:pPr>
        <w:spacing w:after="60"/>
        <w:ind w:left="510" w:hanging="340"/>
      </w:pPr>
      <w:r>
        <w:rPr>
          <w:b/>
          <w:color w:val="0B3B3C"/>
        </w:rPr>
        <w:t xml:space="preserve">1.  </w:t>
      </w:r>
      <w:r>
        <w:t xml:space="preserve">Open </w:t>
      </w:r>
      <w:r>
        <w:rPr>
          <w:b/>
        </w:rPr>
        <w:t>Technology &amp; integrations → Cloud integrations</w:t>
      </w:r>
      <w:r>
        <w:t>.</w:t>
      </w:r>
    </w:p>
    <w:p>
      <w:pPr>
        <w:spacing w:after="60"/>
        <w:ind w:left="510" w:hanging="340"/>
      </w:pPr>
      <w:r>
        <w:rPr>
          <w:b/>
          <w:color w:val="0B3B3C"/>
        </w:rPr>
        <w:t xml:space="preserve">2.  </w:t>
      </w:r>
      <w:r>
        <w:t>Connect your cloud account with the read-only option offered. Never share an admin password.</w:t>
      </w:r>
    </w:p>
    <w:p>
      <w:pPr>
        <w:spacing w:after="60"/>
        <w:ind w:left="510" w:hanging="340"/>
      </w:pPr>
      <w:r>
        <w:rPr>
          <w:b/>
          <w:color w:val="0B3B3C"/>
        </w:rPr>
        <w:t xml:space="preserve">3.  </w:t>
      </w:r>
      <w:r>
        <w:t>Run the assessment again to let automated checks use real data.</w:t>
      </w:r>
    </w:p>
    <w:p>
      <w:r>
        <w:rPr>
          <w:b/>
        </w:rPr>
        <w:t>Check:</w:t>
      </w:r>
      <w:r>
        <w:t xml:space="preserve"> the integration shows as connected and automated checks show "checked by AssureLoom".</w:t>
      </w:r>
    </w:p>
    <w:p>
      <w:pPr>
        <w:pStyle w:val="Heading2"/>
      </w:pPr>
      <w:r>
        <w:t>6. Add evidence (20 minutes)</w:t>
      </w:r>
    </w:p>
    <w:p>
      <w:pPr>
        <w:spacing w:after="60"/>
        <w:ind w:left="510" w:hanging="340"/>
      </w:pPr>
      <w:r>
        <w:rPr>
          <w:b/>
          <w:color w:val="0B3B3C"/>
        </w:rPr>
        <w:t xml:space="preserve">1.  </w:t>
      </w:r>
      <w:r>
        <w:t xml:space="preserve">Open </w:t>
      </w:r>
      <w:r>
        <w:rPr>
          <w:b/>
        </w:rPr>
        <w:t>Risk &amp; assurance → Audits &amp; evidence</w:t>
      </w:r>
      <w:r>
        <w:t>.</w:t>
      </w:r>
    </w:p>
    <w:p>
      <w:pPr>
        <w:spacing w:after="60"/>
        <w:ind w:left="510" w:hanging="340"/>
      </w:pPr>
      <w:r>
        <w:rPr>
          <w:b/>
          <w:color w:val="0B3B3C"/>
        </w:rPr>
        <w:t xml:space="preserve">2.  </w:t>
      </w:r>
      <w:r>
        <w:t>Choose a requirement and upload the document that proves it (policy PDF, screenshot, export, spreadsheet).</w:t>
      </w:r>
    </w:p>
    <w:p>
      <w:pPr>
        <w:spacing w:after="60"/>
        <w:ind w:left="510" w:hanging="340"/>
      </w:pPr>
      <w:r>
        <w:rPr>
          <w:b/>
          <w:color w:val="0B3B3C"/>
        </w:rPr>
        <w:t xml:space="preserve">3.  </w:t>
      </w:r>
      <w:r>
        <w:t>Each file is checked before it is accepted: it must really be the type it claims, Office files may not contain macros, PDFs may not contain scripts, and the file is scanned. Files already known as malicious are refused.</w:t>
      </w:r>
    </w:p>
    <w:p>
      <w:pPr>
        <w:spacing w:after="60"/>
        <w:ind w:left="510" w:hanging="340"/>
      </w:pPr>
      <w:r>
        <w:rPr>
          <w:b/>
          <w:color w:val="0B3B3C"/>
        </w:rPr>
        <w:t xml:space="preserve">4.  </w:t>
      </w:r>
      <w:r>
        <w:t>If a file is refused, the message says why. Fix or replace the file and upload again.</w:t>
      </w:r>
    </w:p>
    <w:p>
      <w:r>
        <w:rPr>
          <w:b/>
        </w:rPr>
        <w:t>Check:</w:t>
      </w:r>
      <w:r>
        <w:t xml:space="preserve"> the evidence is listed against the requirement with a clean scan status and the date it was added.</w:t>
      </w:r>
    </w:p>
    <w:p>
      <w:pPr>
        <w:pStyle w:val="Heading2"/>
      </w:pPr>
      <w:r>
        <w:t>7. Work the findings (30 minutes)</w:t>
      </w:r>
    </w:p>
    <w:p>
      <w:pPr>
        <w:spacing w:after="60"/>
        <w:ind w:left="510" w:hanging="340"/>
      </w:pPr>
      <w:r>
        <w:rPr>
          <w:b/>
          <w:color w:val="0B3B3C"/>
        </w:rPr>
        <w:t xml:space="preserve">1.  </w:t>
      </w:r>
      <w:r>
        <w:t xml:space="preserve">Open </w:t>
      </w:r>
      <w:r>
        <w:rPr>
          <w:b/>
        </w:rPr>
        <w:t>Risk &amp; assurance → Findings</w:t>
      </w:r>
      <w:r>
        <w:t xml:space="preserve"> and sort by severity.</w:t>
      </w:r>
    </w:p>
    <w:p>
      <w:pPr>
        <w:spacing w:after="60"/>
        <w:ind w:left="510" w:hanging="340"/>
      </w:pPr>
      <w:r>
        <w:rPr>
          <w:b/>
          <w:color w:val="0B3B3C"/>
        </w:rPr>
        <w:t xml:space="preserve">2.  </w:t>
      </w:r>
      <w:r>
        <w:t>For each finding, open it, read what failed and why it matters, and assign an owner and a due date.</w:t>
      </w:r>
    </w:p>
    <w:p>
      <w:pPr>
        <w:spacing w:after="60"/>
        <w:ind w:left="510" w:hanging="340"/>
      </w:pPr>
      <w:r>
        <w:rPr>
          <w:b/>
          <w:color w:val="0B3B3C"/>
        </w:rPr>
        <w:t xml:space="preserve">3.  </w:t>
      </w:r>
      <w:r>
        <w:t xml:space="preserve">Open </w:t>
      </w:r>
      <w:r>
        <w:rPr>
          <w:b/>
        </w:rPr>
        <w:t>Remediation</w:t>
      </w:r>
      <w:r>
        <w:t xml:space="preserve"> and create a task for each finding that needs work. Update its status as work is done.</w:t>
      </w:r>
    </w:p>
    <w:p>
      <w:pPr>
        <w:spacing w:after="60"/>
        <w:ind w:left="510" w:hanging="340"/>
      </w:pPr>
      <w:r>
        <w:rPr>
          <w:b/>
          <w:color w:val="0B3B3C"/>
        </w:rPr>
        <w:t xml:space="preserve">4.  </w:t>
      </w:r>
      <w:r>
        <w:t xml:space="preserve">Open </w:t>
      </w:r>
      <w:r>
        <w:rPr>
          <w:b/>
        </w:rPr>
        <w:t>Risks</w:t>
      </w:r>
      <w:r>
        <w:t xml:space="preserve"> to record anything that cannot be fixed now, with a decision and a review date.</w:t>
      </w:r>
    </w:p>
    <w:p>
      <w:r>
        <w:rPr>
          <w:b/>
        </w:rPr>
        <w:t>Check:</w:t>
      </w:r>
      <w:r>
        <w:t xml:space="preserve"> no high-severity finding is left without an owner and a date.</w:t>
      </w:r>
    </w:p>
    <w:p>
      <w:pPr>
        <w:pStyle w:val="Heading2"/>
      </w:pPr>
      <w:r>
        <w:t>8. Policies and privacy (as needed)</w:t>
      </w:r>
    </w:p>
    <w:p>
      <w:pPr>
        <w:pStyle w:val="ListBullet"/>
        <w:spacing w:after="60"/>
      </w:pPr>
      <w:r>
        <w:rPr>
          <w:b/>
        </w:rPr>
        <w:t>Policies &amp; controls:</w:t>
      </w:r>
      <w:r>
        <w:t xml:space="preserve"> keep the written policies the framework asks for, with an owner and review date.</w:t>
      </w:r>
    </w:p>
    <w:p>
      <w:pPr>
        <w:pStyle w:val="ListBullet"/>
        <w:spacing w:after="60"/>
      </w:pPr>
      <w:r>
        <w:rPr>
          <w:b/>
        </w:rPr>
        <w:t>Privacy:</w:t>
      </w:r>
      <w:r>
        <w:t xml:space="preserve"> for DPDP, record the data fiduciary details, the grievance officer and the consent and rights processes.</w:t>
      </w:r>
    </w:p>
    <w:p>
      <w:pPr>
        <w:pStyle w:val="Heading2"/>
      </w:pPr>
      <w:r>
        <w:t>9. Re-assess and report (20 minutes)</w:t>
      </w:r>
    </w:p>
    <w:p>
      <w:pPr>
        <w:spacing w:after="60"/>
        <w:ind w:left="510" w:hanging="340"/>
      </w:pPr>
      <w:r>
        <w:rPr>
          <w:b/>
          <w:color w:val="0B3B3C"/>
        </w:rPr>
        <w:t xml:space="preserve">1.  </w:t>
      </w:r>
      <w:r>
        <w:t>After remediation, run the assessment again. Previous results are kept, so you can see progress.</w:t>
      </w:r>
    </w:p>
    <w:p>
      <w:pPr>
        <w:spacing w:after="60"/>
        <w:ind w:left="510" w:hanging="340"/>
      </w:pPr>
      <w:r>
        <w:rPr>
          <w:b/>
          <w:color w:val="0B3B3C"/>
        </w:rPr>
        <w:t xml:space="preserve">2.  </w:t>
      </w:r>
      <w:r>
        <w:t xml:space="preserve">Open </w:t>
      </w:r>
      <w:r>
        <w:rPr>
          <w:b/>
        </w:rPr>
        <w:t>Risk &amp; assurance → Report centre</w:t>
      </w:r>
      <w:r>
        <w:t xml:space="preserve"> and create the report. Share it with your auditor or leadership.</w:t>
      </w:r>
    </w:p>
    <w:p>
      <w:pPr>
        <w:spacing w:after="60"/>
        <w:ind w:left="510" w:hanging="340"/>
      </w:pPr>
      <w:r>
        <w:rPr>
          <w:b/>
          <w:color w:val="0B3B3C"/>
        </w:rPr>
        <w:t xml:space="preserve">3.  </w:t>
      </w:r>
      <w:r>
        <w:t xml:space="preserve">Open </w:t>
      </w:r>
      <w:r>
        <w:rPr>
          <w:b/>
        </w:rPr>
        <w:t>Administration → Audit log</w:t>
      </w:r>
      <w:r>
        <w:t xml:space="preserve"> to show who did what and when.</w:t>
      </w:r>
    </w:p>
    <w:p>
      <w:r>
        <w:rPr>
          <w:b/>
        </w:rPr>
        <w:t>Check:</w:t>
      </w:r>
      <w:r>
        <w:t xml:space="preserve"> the new score is equal to or higher than before, and the report downloads.</w:t>
      </w:r>
    </w:p>
    <w:p>
      <w:pPr>
        <w:pStyle w:val="Heading2"/>
      </w:pPr>
      <w:r>
        <w:t>10. Test plan: what to confirm and how to report problems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2409"/>
        <w:gridCol w:w="2409"/>
        <w:gridCol w:w="2409"/>
        <w:gridCol w:w="2409"/>
      </w:tblGrid>
      <w:tr>
        <w:trPr>
          <w:tblHeader w:val="true"/>
        </w:trPr>
        <w:tc>
          <w:tcPr>
            <w:tcW w:type="dxa" w:w="871"/>
            <w:shd w:val="clear" w:color="auto" w:fill="0B3B3C"/>
            <w:tcMar>
              <w:top w:w="60" w:type="dxa"/>
              <w:left w:w="90" w:type="dxa"/>
              <w:bottom w:w="60" w:type="dxa"/>
              <w:right w:w="90" w:type="dxa"/>
            </w:tcMar>
          </w:tcPr>
          <w:p>
            <w:pPr>
              <w:spacing w:after="0"/>
            </w:pPr>
            <w:r>
              <w:rPr>
                <w:b/>
                <w:color w:val="FFFFFF"/>
                <w:sz w:val="19"/>
              </w:rPr>
              <w:t>#</w:t>
            </w:r>
          </w:p>
        </w:tc>
        <w:tc>
          <w:tcPr>
            <w:tcW w:type="dxa" w:w="4366"/>
            <w:shd w:val="clear" w:color="auto" w:fill="0B3B3C"/>
            <w:tcMar>
              <w:top w:w="60" w:type="dxa"/>
              <w:left w:w="90" w:type="dxa"/>
              <w:bottom w:w="60" w:type="dxa"/>
              <w:right w:w="90" w:type="dxa"/>
            </w:tcMar>
          </w:tcPr>
          <w:p>
            <w:pPr>
              <w:spacing w:after="0"/>
            </w:pPr>
            <w:r>
              <w:rPr>
                <w:b/>
                <w:color w:val="FFFFFF"/>
                <w:sz w:val="19"/>
              </w:rPr>
              <w:t>Test</w:t>
            </w:r>
          </w:p>
        </w:tc>
        <w:tc>
          <w:tcPr>
            <w:tcW w:type="dxa" w:w="3530"/>
            <w:shd w:val="clear" w:color="auto" w:fill="0B3B3C"/>
            <w:tcMar>
              <w:top w:w="60" w:type="dxa"/>
              <w:left w:w="90" w:type="dxa"/>
              <w:bottom w:w="60" w:type="dxa"/>
              <w:right w:w="90" w:type="dxa"/>
            </w:tcMar>
          </w:tcPr>
          <w:p>
            <w:pPr>
              <w:spacing w:after="0"/>
            </w:pPr>
            <w:r>
              <w:rPr>
                <w:b/>
                <w:color w:val="FFFFFF"/>
                <w:sz w:val="19"/>
              </w:rPr>
              <w:t>Expected result</w:t>
            </w:r>
          </w:p>
        </w:tc>
        <w:tc>
          <w:tcPr>
            <w:tcW w:type="dxa" w:w="871"/>
            <w:shd w:val="clear" w:color="auto" w:fill="0B3B3C"/>
            <w:tcMar>
              <w:top w:w="60" w:type="dxa"/>
              <w:left w:w="90" w:type="dxa"/>
              <w:bottom w:w="60" w:type="dxa"/>
              <w:right w:w="90" w:type="dxa"/>
            </w:tcMar>
          </w:tcPr>
          <w:p>
            <w:pPr>
              <w:spacing w:after="0"/>
            </w:pPr>
            <w:r>
              <w:rPr>
                <w:b/>
                <w:color w:val="FFFFFF"/>
                <w:sz w:val="19"/>
              </w:rPr>
              <w:t>Pass?</w:t>
            </w:r>
          </w:p>
        </w:tc>
      </w:tr>
      <w:tr>
        <w:trPr>
          <w:cantSplit w:val="true"/>
        </w:trPr>
        <w:tc>
          <w:tcPr>
            <w:tcW w:type="dxa" w:w="871"/>
            <w:tcMar>
              <w:top w:w="60" w:type="dxa"/>
              <w:left w:w="90" w:type="dxa"/>
              <w:bottom w:w="60" w:type="dxa"/>
              <w:right w:w="90" w:type="dxa"/>
            </w:tcMar>
          </w:tcPr>
          <w:p>
            <w:pPr>
              <w:spacing w:after="0"/>
            </w:pPr>
            <w:r>
              <w:rPr>
                <w:sz w:val="19"/>
              </w:rPr>
              <w:t>1</w:t>
            </w:r>
          </w:p>
        </w:tc>
        <w:tc>
          <w:tcPr>
            <w:tcW w:type="dxa" w:w="4366"/>
            <w:tcMar>
              <w:top w:w="60" w:type="dxa"/>
              <w:left w:w="90" w:type="dxa"/>
              <w:bottom w:w="60" w:type="dxa"/>
              <w:right w:w="90" w:type="dxa"/>
            </w:tcMar>
          </w:tcPr>
          <w:p>
            <w:pPr>
              <w:spacing w:after="0"/>
            </w:pPr>
            <w:r>
              <w:rPr>
                <w:sz w:val="19"/>
              </w:rPr>
              <w:t>Sign in with company name, email, password and code</w:t>
            </w:r>
          </w:p>
        </w:tc>
        <w:tc>
          <w:tcPr>
            <w:tcW w:type="dxa" w:w="3530"/>
            <w:tcMar>
              <w:top w:w="60" w:type="dxa"/>
              <w:left w:w="90" w:type="dxa"/>
              <w:bottom w:w="60" w:type="dxa"/>
              <w:right w:w="90" w:type="dxa"/>
            </w:tcMar>
          </w:tcPr>
          <w:p>
            <w:pPr>
              <w:spacing w:after="0"/>
            </w:pPr>
            <w:r>
              <w:rPr>
                <w:sz w:val="19"/>
              </w:rPr>
              <w:t>Dashboard opens</w:t>
            </w:r>
          </w:p>
        </w:tc>
        <w:tc>
          <w:tcPr>
            <w:tcW w:type="dxa" w:w="871"/>
            <w:tcMar>
              <w:top w:w="60" w:type="dxa"/>
              <w:left w:w="90" w:type="dxa"/>
              <w:bottom w:w="60" w:type="dxa"/>
              <w:right w:w="90" w:type="dxa"/>
            </w:tcMar>
          </w:tcPr>
          <w:p>
            <w:pPr>
              <w:spacing w:after="0"/>
            </w:pPr>
          </w:p>
        </w:tc>
      </w:tr>
      <w:tr>
        <w:trPr>
          <w:cantSplit w:val="true"/>
        </w:trPr>
        <w:tc>
          <w:tcPr>
            <w:tcW w:type="dxa" w:w="871"/>
            <w:tcMar>
              <w:top w:w="60" w:type="dxa"/>
              <w:left w:w="90" w:type="dxa"/>
              <w:bottom w:w="60" w:type="dxa"/>
              <w:right w:w="90" w:type="dxa"/>
            </w:tcMar>
            <w:shd w:val="clear" w:color="auto" w:fill="F2F7F6"/>
          </w:tcPr>
          <w:p>
            <w:pPr>
              <w:spacing w:after="0"/>
            </w:pPr>
            <w:r>
              <w:rPr>
                <w:sz w:val="19"/>
              </w:rPr>
              <w:t>2</w:t>
            </w:r>
          </w:p>
        </w:tc>
        <w:tc>
          <w:tcPr>
            <w:tcW w:type="dxa" w:w="4366"/>
            <w:tcMar>
              <w:top w:w="60" w:type="dxa"/>
              <w:left w:w="90" w:type="dxa"/>
              <w:bottom w:w="60" w:type="dxa"/>
              <w:right w:w="90" w:type="dxa"/>
            </w:tcMar>
            <w:shd w:val="clear" w:color="auto" w:fill="F2F7F6"/>
          </w:tcPr>
          <w:p>
            <w:pPr>
              <w:spacing w:after="0"/>
            </w:pPr>
            <w:r>
              <w:rPr>
                <w:sz w:val="19"/>
              </w:rPr>
              <w:t>Sign in with a wrong password</w:t>
            </w:r>
          </w:p>
        </w:tc>
        <w:tc>
          <w:tcPr>
            <w:tcW w:type="dxa" w:w="3530"/>
            <w:tcMar>
              <w:top w:w="60" w:type="dxa"/>
              <w:left w:w="90" w:type="dxa"/>
              <w:bottom w:w="60" w:type="dxa"/>
              <w:right w:w="90" w:type="dxa"/>
            </w:tcMar>
            <w:shd w:val="clear" w:color="auto" w:fill="F2F7F6"/>
          </w:tcPr>
          <w:p>
            <w:pPr>
              <w:spacing w:after="0"/>
            </w:pPr>
            <w:r>
              <w:rPr>
                <w:sz w:val="19"/>
              </w:rPr>
              <w:t>Clear message, no hint which part is wrong</w:t>
            </w:r>
          </w:p>
        </w:tc>
        <w:tc>
          <w:tcPr>
            <w:tcW w:type="dxa" w:w="871"/>
            <w:tcMar>
              <w:top w:w="60" w:type="dxa"/>
              <w:left w:w="90" w:type="dxa"/>
              <w:bottom w:w="60" w:type="dxa"/>
              <w:right w:w="90" w:type="dxa"/>
            </w:tcMar>
            <w:shd w:val="clear" w:color="auto" w:fill="F2F7F6"/>
          </w:tcPr>
          <w:p>
            <w:pPr>
              <w:spacing w:after="0"/>
            </w:pPr>
          </w:p>
        </w:tc>
      </w:tr>
      <w:tr>
        <w:trPr>
          <w:cantSplit w:val="true"/>
        </w:trPr>
        <w:tc>
          <w:tcPr>
            <w:tcW w:type="dxa" w:w="871"/>
            <w:tcMar>
              <w:top w:w="60" w:type="dxa"/>
              <w:left w:w="90" w:type="dxa"/>
              <w:bottom w:w="60" w:type="dxa"/>
              <w:right w:w="90" w:type="dxa"/>
            </w:tcMar>
          </w:tcPr>
          <w:p>
            <w:pPr>
              <w:spacing w:after="0"/>
            </w:pPr>
            <w:r>
              <w:rPr>
                <w:sz w:val="19"/>
              </w:rPr>
              <w:t>3</w:t>
            </w:r>
          </w:p>
        </w:tc>
        <w:tc>
          <w:tcPr>
            <w:tcW w:type="dxa" w:w="4366"/>
            <w:tcMar>
              <w:top w:w="60" w:type="dxa"/>
              <w:left w:w="90" w:type="dxa"/>
              <w:bottom w:w="60" w:type="dxa"/>
              <w:right w:w="90" w:type="dxa"/>
            </w:tcMar>
          </w:tcPr>
          <w:p>
            <w:pPr>
              <w:spacing w:after="0"/>
            </w:pPr>
            <w:r>
              <w:rPr>
                <w:sz w:val="19"/>
              </w:rPr>
              <w:t>Select a framework</w:t>
            </w:r>
          </w:p>
        </w:tc>
        <w:tc>
          <w:tcPr>
            <w:tcW w:type="dxa" w:w="3530"/>
            <w:tcMar>
              <w:top w:w="60" w:type="dxa"/>
              <w:left w:w="90" w:type="dxa"/>
              <w:bottom w:w="60" w:type="dxa"/>
              <w:right w:w="90" w:type="dxa"/>
            </w:tcMar>
          </w:tcPr>
          <w:p>
            <w:pPr>
              <w:spacing w:after="0"/>
            </w:pPr>
            <w:r>
              <w:rPr>
                <w:sz w:val="19"/>
              </w:rPr>
              <w:t>Appears on the Dashboard</w:t>
            </w:r>
          </w:p>
        </w:tc>
        <w:tc>
          <w:tcPr>
            <w:tcW w:type="dxa" w:w="871"/>
            <w:tcMar>
              <w:top w:w="60" w:type="dxa"/>
              <w:left w:w="90" w:type="dxa"/>
              <w:bottom w:w="60" w:type="dxa"/>
              <w:right w:w="90" w:type="dxa"/>
            </w:tcMar>
          </w:tcPr>
          <w:p>
            <w:pPr>
              <w:spacing w:after="0"/>
            </w:pPr>
          </w:p>
        </w:tc>
      </w:tr>
      <w:tr>
        <w:trPr>
          <w:cantSplit w:val="true"/>
        </w:trPr>
        <w:tc>
          <w:tcPr>
            <w:tcW w:type="dxa" w:w="871"/>
            <w:tcMar>
              <w:top w:w="60" w:type="dxa"/>
              <w:left w:w="90" w:type="dxa"/>
              <w:bottom w:w="60" w:type="dxa"/>
              <w:right w:w="90" w:type="dxa"/>
            </w:tcMar>
            <w:shd w:val="clear" w:color="auto" w:fill="F2F7F6"/>
          </w:tcPr>
          <w:p>
            <w:pPr>
              <w:spacing w:after="0"/>
            </w:pPr>
            <w:r>
              <w:rPr>
                <w:sz w:val="19"/>
              </w:rPr>
              <w:t>4</w:t>
            </w:r>
          </w:p>
        </w:tc>
        <w:tc>
          <w:tcPr>
            <w:tcW w:type="dxa" w:w="4366"/>
            <w:tcMar>
              <w:top w:w="60" w:type="dxa"/>
              <w:left w:w="90" w:type="dxa"/>
              <w:bottom w:w="60" w:type="dxa"/>
              <w:right w:w="90" w:type="dxa"/>
            </w:tcMar>
            <w:shd w:val="clear" w:color="auto" w:fill="F2F7F6"/>
          </w:tcPr>
          <w:p>
            <w:pPr>
              <w:spacing w:after="0"/>
            </w:pPr>
            <w:r>
              <w:rPr>
                <w:sz w:val="19"/>
              </w:rPr>
              <w:t>Add a person with a reviewer role</w:t>
            </w:r>
          </w:p>
        </w:tc>
        <w:tc>
          <w:tcPr>
            <w:tcW w:type="dxa" w:w="3530"/>
            <w:tcMar>
              <w:top w:w="60" w:type="dxa"/>
              <w:left w:w="90" w:type="dxa"/>
              <w:bottom w:w="60" w:type="dxa"/>
              <w:right w:w="90" w:type="dxa"/>
            </w:tcMar>
            <w:shd w:val="clear" w:color="auto" w:fill="F2F7F6"/>
          </w:tcPr>
          <w:p>
            <w:pPr>
              <w:spacing w:after="0"/>
            </w:pPr>
            <w:r>
              <w:rPr>
                <w:sz w:val="19"/>
              </w:rPr>
              <w:t>They cannot see Users &amp; roles</w:t>
            </w:r>
          </w:p>
        </w:tc>
        <w:tc>
          <w:tcPr>
            <w:tcW w:type="dxa" w:w="871"/>
            <w:tcMar>
              <w:top w:w="60" w:type="dxa"/>
              <w:left w:w="90" w:type="dxa"/>
              <w:bottom w:w="60" w:type="dxa"/>
              <w:right w:w="90" w:type="dxa"/>
            </w:tcMar>
            <w:shd w:val="clear" w:color="auto" w:fill="F2F7F6"/>
          </w:tcPr>
          <w:p>
            <w:pPr>
              <w:spacing w:after="0"/>
            </w:pPr>
          </w:p>
        </w:tc>
      </w:tr>
      <w:tr>
        <w:trPr>
          <w:cantSplit w:val="true"/>
        </w:trPr>
        <w:tc>
          <w:tcPr>
            <w:tcW w:type="dxa" w:w="871"/>
            <w:tcMar>
              <w:top w:w="60" w:type="dxa"/>
              <w:left w:w="90" w:type="dxa"/>
              <w:bottom w:w="60" w:type="dxa"/>
              <w:right w:w="90" w:type="dxa"/>
            </w:tcMar>
          </w:tcPr>
          <w:p>
            <w:pPr>
              <w:spacing w:after="0"/>
            </w:pPr>
            <w:r>
              <w:rPr>
                <w:sz w:val="19"/>
              </w:rPr>
              <w:t>5</w:t>
            </w:r>
          </w:p>
        </w:tc>
        <w:tc>
          <w:tcPr>
            <w:tcW w:type="dxa" w:w="4366"/>
            <w:tcMar>
              <w:top w:w="60" w:type="dxa"/>
              <w:left w:w="90" w:type="dxa"/>
              <w:bottom w:w="60" w:type="dxa"/>
              <w:right w:w="90" w:type="dxa"/>
            </w:tcMar>
          </w:tcPr>
          <w:p>
            <w:pPr>
              <w:spacing w:after="0"/>
            </w:pPr>
            <w:r>
              <w:rPr>
                <w:sz w:val="19"/>
              </w:rPr>
              <w:t>Run an assessment</w:t>
            </w:r>
          </w:p>
        </w:tc>
        <w:tc>
          <w:tcPr>
            <w:tcW w:type="dxa" w:w="3530"/>
            <w:tcMar>
              <w:top w:w="60" w:type="dxa"/>
              <w:left w:w="90" w:type="dxa"/>
              <w:bottom w:w="60" w:type="dxa"/>
              <w:right w:w="90" w:type="dxa"/>
            </w:tcMar>
          </w:tcPr>
          <w:p>
            <w:pPr>
              <w:spacing w:after="0"/>
            </w:pPr>
            <w:r>
              <w:rPr>
                <w:sz w:val="19"/>
              </w:rPr>
              <w:t>Score and requirement list appear</w:t>
            </w:r>
          </w:p>
        </w:tc>
        <w:tc>
          <w:tcPr>
            <w:tcW w:type="dxa" w:w="871"/>
            <w:tcMar>
              <w:top w:w="60" w:type="dxa"/>
              <w:left w:w="90" w:type="dxa"/>
              <w:bottom w:w="60" w:type="dxa"/>
              <w:right w:w="90" w:type="dxa"/>
            </w:tcMar>
          </w:tcPr>
          <w:p>
            <w:pPr>
              <w:spacing w:after="0"/>
            </w:pPr>
          </w:p>
        </w:tc>
      </w:tr>
      <w:tr>
        <w:trPr>
          <w:cantSplit w:val="true"/>
        </w:trPr>
        <w:tc>
          <w:tcPr>
            <w:tcW w:type="dxa" w:w="871"/>
            <w:tcMar>
              <w:top w:w="60" w:type="dxa"/>
              <w:left w:w="90" w:type="dxa"/>
              <w:bottom w:w="60" w:type="dxa"/>
              <w:right w:w="90" w:type="dxa"/>
            </w:tcMar>
            <w:shd w:val="clear" w:color="auto" w:fill="F2F7F6"/>
          </w:tcPr>
          <w:p>
            <w:pPr>
              <w:spacing w:after="0"/>
            </w:pPr>
            <w:r>
              <w:rPr>
                <w:sz w:val="19"/>
              </w:rPr>
              <w:t>6</w:t>
            </w:r>
          </w:p>
        </w:tc>
        <w:tc>
          <w:tcPr>
            <w:tcW w:type="dxa" w:w="4366"/>
            <w:tcMar>
              <w:top w:w="60" w:type="dxa"/>
              <w:left w:w="90" w:type="dxa"/>
              <w:bottom w:w="60" w:type="dxa"/>
              <w:right w:w="90" w:type="dxa"/>
            </w:tcMar>
            <w:shd w:val="clear" w:color="auto" w:fill="F2F7F6"/>
          </w:tcPr>
          <w:p>
            <w:pPr>
              <w:spacing w:after="0"/>
            </w:pPr>
            <w:r>
              <w:rPr>
                <w:sz w:val="19"/>
              </w:rPr>
              <w:t>Upload a normal PDF as evidence</w:t>
            </w:r>
          </w:p>
        </w:tc>
        <w:tc>
          <w:tcPr>
            <w:tcW w:type="dxa" w:w="3530"/>
            <w:tcMar>
              <w:top w:w="60" w:type="dxa"/>
              <w:left w:w="90" w:type="dxa"/>
              <w:bottom w:w="60" w:type="dxa"/>
              <w:right w:w="90" w:type="dxa"/>
            </w:tcMar>
            <w:shd w:val="clear" w:color="auto" w:fill="F2F7F6"/>
          </w:tcPr>
          <w:p>
            <w:pPr>
              <w:spacing w:after="0"/>
            </w:pPr>
            <w:r>
              <w:rPr>
                <w:sz w:val="19"/>
              </w:rPr>
              <w:t>Accepted, scan status clean</w:t>
            </w:r>
          </w:p>
        </w:tc>
        <w:tc>
          <w:tcPr>
            <w:tcW w:type="dxa" w:w="871"/>
            <w:tcMar>
              <w:top w:w="60" w:type="dxa"/>
              <w:left w:w="90" w:type="dxa"/>
              <w:bottom w:w="60" w:type="dxa"/>
              <w:right w:w="90" w:type="dxa"/>
            </w:tcMar>
            <w:shd w:val="clear" w:color="auto" w:fill="F2F7F6"/>
          </w:tcPr>
          <w:p>
            <w:pPr>
              <w:spacing w:after="0"/>
            </w:pPr>
          </w:p>
        </w:tc>
      </w:tr>
      <w:tr>
        <w:trPr>
          <w:cantSplit w:val="true"/>
        </w:trPr>
        <w:tc>
          <w:tcPr>
            <w:tcW w:type="dxa" w:w="871"/>
            <w:tcMar>
              <w:top w:w="60" w:type="dxa"/>
              <w:left w:w="90" w:type="dxa"/>
              <w:bottom w:w="60" w:type="dxa"/>
              <w:right w:w="90" w:type="dxa"/>
            </w:tcMar>
          </w:tcPr>
          <w:p>
            <w:pPr>
              <w:spacing w:after="0"/>
            </w:pPr>
            <w:r>
              <w:rPr>
                <w:sz w:val="19"/>
              </w:rPr>
              <w:t>7</w:t>
            </w:r>
          </w:p>
        </w:tc>
        <w:tc>
          <w:tcPr>
            <w:tcW w:type="dxa" w:w="4366"/>
            <w:tcMar>
              <w:top w:w="60" w:type="dxa"/>
              <w:left w:w="90" w:type="dxa"/>
              <w:bottom w:w="60" w:type="dxa"/>
              <w:right w:w="90" w:type="dxa"/>
            </w:tcMar>
          </w:tcPr>
          <w:p>
            <w:pPr>
              <w:spacing w:after="0"/>
            </w:pPr>
            <w:r>
              <w:rPr>
                <w:sz w:val="19"/>
              </w:rPr>
              <w:t>Upload a file with a wrong extension or an Office file with macros</w:t>
            </w:r>
          </w:p>
        </w:tc>
        <w:tc>
          <w:tcPr>
            <w:tcW w:type="dxa" w:w="3530"/>
            <w:tcMar>
              <w:top w:w="60" w:type="dxa"/>
              <w:left w:w="90" w:type="dxa"/>
              <w:bottom w:w="60" w:type="dxa"/>
              <w:right w:w="90" w:type="dxa"/>
            </w:tcMar>
          </w:tcPr>
          <w:p>
            <w:pPr>
              <w:spacing w:after="0"/>
            </w:pPr>
            <w:r>
              <w:rPr>
                <w:sz w:val="19"/>
              </w:rPr>
              <w:t>Refused with a reason</w:t>
            </w:r>
          </w:p>
        </w:tc>
        <w:tc>
          <w:tcPr>
            <w:tcW w:type="dxa" w:w="871"/>
            <w:tcMar>
              <w:top w:w="60" w:type="dxa"/>
              <w:left w:w="90" w:type="dxa"/>
              <w:bottom w:w="60" w:type="dxa"/>
              <w:right w:w="90" w:type="dxa"/>
            </w:tcMar>
          </w:tcPr>
          <w:p>
            <w:pPr>
              <w:spacing w:after="0"/>
            </w:pPr>
          </w:p>
        </w:tc>
      </w:tr>
      <w:tr>
        <w:trPr>
          <w:cantSplit w:val="true"/>
        </w:trPr>
        <w:tc>
          <w:tcPr>
            <w:tcW w:type="dxa" w:w="871"/>
            <w:tcMar>
              <w:top w:w="60" w:type="dxa"/>
              <w:left w:w="90" w:type="dxa"/>
              <w:bottom w:w="60" w:type="dxa"/>
              <w:right w:w="90" w:type="dxa"/>
            </w:tcMar>
            <w:shd w:val="clear" w:color="auto" w:fill="F2F7F6"/>
          </w:tcPr>
          <w:p>
            <w:pPr>
              <w:spacing w:after="0"/>
            </w:pPr>
            <w:r>
              <w:rPr>
                <w:sz w:val="19"/>
              </w:rPr>
              <w:t>8</w:t>
            </w:r>
          </w:p>
        </w:tc>
        <w:tc>
          <w:tcPr>
            <w:tcW w:type="dxa" w:w="4366"/>
            <w:tcMar>
              <w:top w:w="60" w:type="dxa"/>
              <w:left w:w="90" w:type="dxa"/>
              <w:bottom w:w="60" w:type="dxa"/>
              <w:right w:w="90" w:type="dxa"/>
            </w:tcMar>
            <w:shd w:val="clear" w:color="auto" w:fill="F2F7F6"/>
          </w:tcPr>
          <w:p>
            <w:pPr>
              <w:spacing w:after="0"/>
            </w:pPr>
            <w:r>
              <w:rPr>
                <w:sz w:val="19"/>
              </w:rPr>
              <w:t>Create a finding task and mark it done</w:t>
            </w:r>
          </w:p>
        </w:tc>
        <w:tc>
          <w:tcPr>
            <w:tcW w:type="dxa" w:w="3530"/>
            <w:tcMar>
              <w:top w:w="60" w:type="dxa"/>
              <w:left w:w="90" w:type="dxa"/>
              <w:bottom w:w="60" w:type="dxa"/>
              <w:right w:w="90" w:type="dxa"/>
            </w:tcMar>
            <w:shd w:val="clear" w:color="auto" w:fill="F2F7F6"/>
          </w:tcPr>
          <w:p>
            <w:pPr>
              <w:spacing w:after="0"/>
            </w:pPr>
            <w:r>
              <w:rPr>
                <w:sz w:val="19"/>
              </w:rPr>
              <w:t>Status changes and shows in the audit log</w:t>
            </w:r>
          </w:p>
        </w:tc>
        <w:tc>
          <w:tcPr>
            <w:tcW w:type="dxa" w:w="871"/>
            <w:tcMar>
              <w:top w:w="60" w:type="dxa"/>
              <w:left w:w="90" w:type="dxa"/>
              <w:bottom w:w="60" w:type="dxa"/>
              <w:right w:w="90" w:type="dxa"/>
            </w:tcMar>
            <w:shd w:val="clear" w:color="auto" w:fill="F2F7F6"/>
          </w:tcPr>
          <w:p>
            <w:pPr>
              <w:spacing w:after="0"/>
            </w:pPr>
          </w:p>
        </w:tc>
      </w:tr>
      <w:tr>
        <w:trPr>
          <w:cantSplit w:val="true"/>
        </w:trPr>
        <w:tc>
          <w:tcPr>
            <w:tcW w:type="dxa" w:w="871"/>
            <w:tcMar>
              <w:top w:w="60" w:type="dxa"/>
              <w:left w:w="90" w:type="dxa"/>
              <w:bottom w:w="60" w:type="dxa"/>
              <w:right w:w="90" w:type="dxa"/>
            </w:tcMar>
          </w:tcPr>
          <w:p>
            <w:pPr>
              <w:spacing w:after="0"/>
            </w:pPr>
            <w:r>
              <w:rPr>
                <w:sz w:val="19"/>
              </w:rPr>
              <w:t>9</w:t>
            </w:r>
          </w:p>
        </w:tc>
        <w:tc>
          <w:tcPr>
            <w:tcW w:type="dxa" w:w="4366"/>
            <w:tcMar>
              <w:top w:w="60" w:type="dxa"/>
              <w:left w:w="90" w:type="dxa"/>
              <w:bottom w:w="60" w:type="dxa"/>
              <w:right w:w="90" w:type="dxa"/>
            </w:tcMar>
          </w:tcPr>
          <w:p>
            <w:pPr>
              <w:spacing w:after="0"/>
            </w:pPr>
            <w:r>
              <w:rPr>
                <w:sz w:val="19"/>
              </w:rPr>
              <w:t>Re-run the assessment</w:t>
            </w:r>
          </w:p>
        </w:tc>
        <w:tc>
          <w:tcPr>
            <w:tcW w:type="dxa" w:w="3530"/>
            <w:tcMar>
              <w:top w:w="60" w:type="dxa"/>
              <w:left w:w="90" w:type="dxa"/>
              <w:bottom w:w="60" w:type="dxa"/>
              <w:right w:w="90" w:type="dxa"/>
            </w:tcMar>
          </w:tcPr>
          <w:p>
            <w:pPr>
              <w:spacing w:after="0"/>
            </w:pPr>
            <w:r>
              <w:rPr>
                <w:sz w:val="19"/>
              </w:rPr>
              <w:t>Earlier result is still listed</w:t>
            </w:r>
          </w:p>
        </w:tc>
        <w:tc>
          <w:tcPr>
            <w:tcW w:type="dxa" w:w="871"/>
            <w:tcMar>
              <w:top w:w="60" w:type="dxa"/>
              <w:left w:w="90" w:type="dxa"/>
              <w:bottom w:w="60" w:type="dxa"/>
              <w:right w:w="90" w:type="dxa"/>
            </w:tcMar>
          </w:tcPr>
          <w:p>
            <w:pPr>
              <w:spacing w:after="0"/>
            </w:pPr>
          </w:p>
        </w:tc>
      </w:tr>
      <w:tr>
        <w:trPr>
          <w:cantSplit w:val="true"/>
        </w:trPr>
        <w:tc>
          <w:tcPr>
            <w:tcW w:type="dxa" w:w="871"/>
            <w:tcMar>
              <w:top w:w="60" w:type="dxa"/>
              <w:left w:w="90" w:type="dxa"/>
              <w:bottom w:w="60" w:type="dxa"/>
              <w:right w:w="90" w:type="dxa"/>
            </w:tcMar>
            <w:shd w:val="clear" w:color="auto" w:fill="F2F7F6"/>
          </w:tcPr>
          <w:p>
            <w:pPr>
              <w:spacing w:after="0"/>
            </w:pPr>
            <w:r>
              <w:rPr>
                <w:sz w:val="19"/>
              </w:rPr>
              <w:t>10</w:t>
            </w:r>
          </w:p>
        </w:tc>
        <w:tc>
          <w:tcPr>
            <w:tcW w:type="dxa" w:w="4366"/>
            <w:tcMar>
              <w:top w:w="60" w:type="dxa"/>
              <w:left w:w="90" w:type="dxa"/>
              <w:bottom w:w="60" w:type="dxa"/>
              <w:right w:w="90" w:type="dxa"/>
            </w:tcMar>
            <w:shd w:val="clear" w:color="auto" w:fill="F2F7F6"/>
          </w:tcPr>
          <w:p>
            <w:pPr>
              <w:spacing w:after="0"/>
            </w:pPr>
            <w:r>
              <w:rPr>
                <w:sz w:val="19"/>
              </w:rPr>
              <w:t>Create and download a report</w:t>
            </w:r>
          </w:p>
        </w:tc>
        <w:tc>
          <w:tcPr>
            <w:tcW w:type="dxa" w:w="3530"/>
            <w:tcMar>
              <w:top w:w="60" w:type="dxa"/>
              <w:left w:w="90" w:type="dxa"/>
              <w:bottom w:w="60" w:type="dxa"/>
              <w:right w:w="90" w:type="dxa"/>
            </w:tcMar>
            <w:shd w:val="clear" w:color="auto" w:fill="F2F7F6"/>
          </w:tcPr>
          <w:p>
            <w:pPr>
              <w:spacing w:after="0"/>
            </w:pPr>
            <w:r>
              <w:rPr>
                <w:sz w:val="19"/>
              </w:rPr>
              <w:t>File downloads</w:t>
            </w:r>
          </w:p>
        </w:tc>
        <w:tc>
          <w:tcPr>
            <w:tcW w:type="dxa" w:w="871"/>
            <w:tcMar>
              <w:top w:w="60" w:type="dxa"/>
              <w:left w:w="90" w:type="dxa"/>
              <w:bottom w:w="60" w:type="dxa"/>
              <w:right w:w="90" w:type="dxa"/>
            </w:tcMar>
            <w:shd w:val="clear" w:color="auto" w:fill="F2F7F6"/>
          </w:tcPr>
          <w:p>
            <w:pPr>
              <w:spacing w:after="0"/>
            </w:pPr>
          </w:p>
        </w:tc>
      </w:tr>
      <w:tr>
        <w:trPr>
          <w:cantSplit w:val="true"/>
        </w:trPr>
        <w:tc>
          <w:tcPr>
            <w:tcW w:type="dxa" w:w="871"/>
            <w:tcMar>
              <w:top w:w="60" w:type="dxa"/>
              <w:left w:w="90" w:type="dxa"/>
              <w:bottom w:w="60" w:type="dxa"/>
              <w:right w:w="90" w:type="dxa"/>
            </w:tcMar>
          </w:tcPr>
          <w:p>
            <w:pPr>
              <w:spacing w:after="0"/>
            </w:pPr>
            <w:r>
              <w:rPr>
                <w:sz w:val="19"/>
              </w:rPr>
              <w:t>11</w:t>
            </w:r>
          </w:p>
        </w:tc>
        <w:tc>
          <w:tcPr>
            <w:tcW w:type="dxa" w:w="4366"/>
            <w:tcMar>
              <w:top w:w="60" w:type="dxa"/>
              <w:left w:w="90" w:type="dxa"/>
              <w:bottom w:w="60" w:type="dxa"/>
              <w:right w:w="90" w:type="dxa"/>
            </w:tcMar>
          </w:tcPr>
          <w:p>
            <w:pPr>
              <w:spacing w:after="0"/>
            </w:pPr>
            <w:r>
              <w:rPr>
                <w:sz w:val="19"/>
              </w:rPr>
              <w:t>Confirm a sensitive action (add a person)</w:t>
            </w:r>
          </w:p>
        </w:tc>
        <w:tc>
          <w:tcPr>
            <w:tcW w:type="dxa" w:w="3530"/>
            <w:tcMar>
              <w:top w:w="60" w:type="dxa"/>
              <w:left w:w="90" w:type="dxa"/>
              <w:bottom w:w="60" w:type="dxa"/>
              <w:right w:w="90" w:type="dxa"/>
            </w:tcMar>
          </w:tcPr>
          <w:p>
            <w:pPr>
              <w:spacing w:after="0"/>
            </w:pPr>
            <w:r>
              <w:rPr>
                <w:sz w:val="19"/>
              </w:rPr>
              <w:t>Asks for password and, if on, the code</w:t>
            </w:r>
          </w:p>
        </w:tc>
        <w:tc>
          <w:tcPr>
            <w:tcW w:type="dxa" w:w="871"/>
            <w:tcMar>
              <w:top w:w="60" w:type="dxa"/>
              <w:left w:w="90" w:type="dxa"/>
              <w:bottom w:w="60" w:type="dxa"/>
              <w:right w:w="90" w:type="dxa"/>
            </w:tcMar>
          </w:tcPr>
          <w:p>
            <w:pPr>
              <w:spacing w:after="0"/>
            </w:pPr>
          </w:p>
        </w:tc>
      </w:tr>
      <w:tr>
        <w:trPr>
          <w:cantSplit w:val="true"/>
        </w:trPr>
        <w:tc>
          <w:tcPr>
            <w:tcW w:type="dxa" w:w="871"/>
            <w:tcMar>
              <w:top w:w="60" w:type="dxa"/>
              <w:left w:w="90" w:type="dxa"/>
              <w:bottom w:w="60" w:type="dxa"/>
              <w:right w:w="90" w:type="dxa"/>
            </w:tcMar>
            <w:shd w:val="clear" w:color="auto" w:fill="F2F7F6"/>
          </w:tcPr>
          <w:p>
            <w:pPr>
              <w:spacing w:after="0"/>
            </w:pPr>
            <w:r>
              <w:rPr>
                <w:sz w:val="19"/>
              </w:rPr>
              <w:t>12</w:t>
            </w:r>
          </w:p>
        </w:tc>
        <w:tc>
          <w:tcPr>
            <w:tcW w:type="dxa" w:w="4366"/>
            <w:tcMar>
              <w:top w:w="60" w:type="dxa"/>
              <w:left w:w="90" w:type="dxa"/>
              <w:bottom w:w="60" w:type="dxa"/>
              <w:right w:w="90" w:type="dxa"/>
            </w:tcMar>
            <w:shd w:val="clear" w:color="auto" w:fill="F2F7F6"/>
          </w:tcPr>
          <w:p>
            <w:pPr>
              <w:spacing w:after="0"/>
            </w:pPr>
            <w:r>
              <w:rPr>
                <w:sz w:val="19"/>
              </w:rPr>
              <w:t>Sign out and sign in on another device</w:t>
            </w:r>
          </w:p>
        </w:tc>
        <w:tc>
          <w:tcPr>
            <w:tcW w:type="dxa" w:w="3530"/>
            <w:tcMar>
              <w:top w:w="60" w:type="dxa"/>
              <w:left w:w="90" w:type="dxa"/>
              <w:bottom w:w="60" w:type="dxa"/>
              <w:right w:w="90" w:type="dxa"/>
            </w:tcMar>
            <w:shd w:val="clear" w:color="auto" w:fill="F2F7F6"/>
          </w:tcPr>
          <w:p>
            <w:pPr>
              <w:spacing w:after="0"/>
            </w:pPr>
            <w:r>
              <w:rPr>
                <w:sz w:val="19"/>
              </w:rPr>
              <w:t>Both work, and "Sign out everywhere" ends them</w:t>
            </w:r>
          </w:p>
        </w:tc>
        <w:tc>
          <w:tcPr>
            <w:tcW w:type="dxa" w:w="871"/>
            <w:tcMar>
              <w:top w:w="60" w:type="dxa"/>
              <w:left w:w="90" w:type="dxa"/>
              <w:bottom w:w="60" w:type="dxa"/>
              <w:right w:w="90" w:type="dxa"/>
            </w:tcMar>
            <w:shd w:val="clear" w:color="auto" w:fill="F2F7F6"/>
          </w:tcPr>
          <w:p>
            <w:pPr>
              <w:spacing w:after="0"/>
            </w:pPr>
          </w:p>
        </w:tc>
      </w:tr>
    </w:tbl>
    <w:p>
      <w:pPr>
        <w:spacing w:after="40"/>
      </w:pPr>
    </w:p>
    <w:p>
      <w:r>
        <w:t>To report a problem send: the test number, what you did, what you expected, what happened, a screenshot and the time. Never send passwords, codes or recovery codes.</w:t>
      </w:r>
    </w:p>
    <w:p>
      <w:pPr>
        <w:pStyle w:val="Heading2"/>
      </w:pPr>
      <w:r>
        <w:t>11. Roles at a glance</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2195"/>
            <w:shd w:val="clear" w:color="auto" w:fill="0B3B3C"/>
            <w:tcMar>
              <w:top w:w="60" w:type="dxa"/>
              <w:left w:w="90" w:type="dxa"/>
              <w:bottom w:w="60" w:type="dxa"/>
              <w:right w:w="90" w:type="dxa"/>
            </w:tcMar>
          </w:tcPr>
          <w:p>
            <w:pPr>
              <w:spacing w:after="0"/>
            </w:pPr>
            <w:r>
              <w:rPr>
                <w:b/>
                <w:color w:val="FFFFFF"/>
                <w:sz w:val="19"/>
              </w:rPr>
              <w:t>Role</w:t>
            </w:r>
          </w:p>
        </w:tc>
        <w:tc>
          <w:tcPr>
            <w:tcW w:type="dxa" w:w="5083"/>
            <w:shd w:val="clear" w:color="auto" w:fill="0B3B3C"/>
            <w:tcMar>
              <w:top w:w="60" w:type="dxa"/>
              <w:left w:w="90" w:type="dxa"/>
              <w:bottom w:w="60" w:type="dxa"/>
              <w:right w:w="90" w:type="dxa"/>
            </w:tcMar>
          </w:tcPr>
          <w:p>
            <w:pPr>
              <w:spacing w:after="0"/>
            </w:pPr>
            <w:r>
              <w:rPr>
                <w:b/>
                <w:color w:val="FFFFFF"/>
                <w:sz w:val="19"/>
              </w:rPr>
              <w:t>Can</w:t>
            </w:r>
          </w:p>
        </w:tc>
        <w:tc>
          <w:tcPr>
            <w:tcW w:type="dxa" w:w="2360"/>
            <w:shd w:val="clear" w:color="auto" w:fill="0B3B3C"/>
            <w:tcMar>
              <w:top w:w="60" w:type="dxa"/>
              <w:left w:w="90" w:type="dxa"/>
              <w:bottom w:w="60" w:type="dxa"/>
              <w:right w:w="90" w:type="dxa"/>
            </w:tcMar>
          </w:tcPr>
          <w:p>
            <w:pPr>
              <w:spacing w:after="0"/>
            </w:pPr>
            <w:r>
              <w:rPr>
                <w:b/>
                <w:color w:val="FFFFFF"/>
                <w:sz w:val="19"/>
              </w:rPr>
              <w:t>Cannot</w:t>
            </w:r>
          </w:p>
        </w:tc>
      </w:tr>
      <w:tr>
        <w:trPr>
          <w:cantSplit w:val="true"/>
        </w:trPr>
        <w:tc>
          <w:tcPr>
            <w:tcW w:type="dxa" w:w="2195"/>
            <w:tcMar>
              <w:top w:w="60" w:type="dxa"/>
              <w:left w:w="90" w:type="dxa"/>
              <w:bottom w:w="60" w:type="dxa"/>
              <w:right w:w="90" w:type="dxa"/>
            </w:tcMar>
          </w:tcPr>
          <w:p>
            <w:pPr>
              <w:spacing w:after="0"/>
            </w:pPr>
            <w:r>
              <w:rPr>
                <w:sz w:val="19"/>
              </w:rPr>
              <w:t>Company Owner / Admin</w:t>
            </w:r>
          </w:p>
        </w:tc>
        <w:tc>
          <w:tcPr>
            <w:tcW w:type="dxa" w:w="5083"/>
            <w:tcMar>
              <w:top w:w="60" w:type="dxa"/>
              <w:left w:w="90" w:type="dxa"/>
              <w:bottom w:w="60" w:type="dxa"/>
              <w:right w:w="90" w:type="dxa"/>
            </w:tcMar>
          </w:tcPr>
          <w:p>
            <w:pPr>
              <w:spacing w:after="0"/>
            </w:pPr>
            <w:r>
              <w:rPr>
                <w:sz w:val="19"/>
              </w:rPr>
              <w:t>Everything in their organisation, including people and integrations</w:t>
            </w:r>
          </w:p>
        </w:tc>
        <w:tc>
          <w:tcPr>
            <w:tcW w:type="dxa" w:w="2360"/>
            <w:tcMar>
              <w:top w:w="60" w:type="dxa"/>
              <w:left w:w="90" w:type="dxa"/>
              <w:bottom w:w="60" w:type="dxa"/>
              <w:right w:w="90" w:type="dxa"/>
            </w:tcMar>
          </w:tcPr>
          <w:p>
            <w:pPr>
              <w:spacing w:after="0"/>
            </w:pPr>
            <w:r>
              <w:rPr>
                <w:sz w:val="19"/>
              </w:rPr>
              <w:t>See other organisations</w:t>
            </w:r>
          </w:p>
        </w:tc>
      </w:tr>
      <w:tr>
        <w:trPr>
          <w:cantSplit w:val="true"/>
        </w:trPr>
        <w:tc>
          <w:tcPr>
            <w:tcW w:type="dxa" w:w="2195"/>
            <w:tcMar>
              <w:top w:w="60" w:type="dxa"/>
              <w:left w:w="90" w:type="dxa"/>
              <w:bottom w:w="60" w:type="dxa"/>
              <w:right w:w="90" w:type="dxa"/>
            </w:tcMar>
            <w:shd w:val="clear" w:color="auto" w:fill="F2F7F6"/>
          </w:tcPr>
          <w:p>
            <w:pPr>
              <w:spacing w:after="0"/>
            </w:pPr>
            <w:r>
              <w:rPr>
                <w:sz w:val="19"/>
              </w:rPr>
              <w:t>Reviewer</w:t>
            </w:r>
          </w:p>
        </w:tc>
        <w:tc>
          <w:tcPr>
            <w:tcW w:type="dxa" w:w="5083"/>
            <w:tcMar>
              <w:top w:w="60" w:type="dxa"/>
              <w:left w:w="90" w:type="dxa"/>
              <w:bottom w:w="60" w:type="dxa"/>
              <w:right w:w="90" w:type="dxa"/>
            </w:tcMar>
            <w:shd w:val="clear" w:color="auto" w:fill="F2F7F6"/>
          </w:tcPr>
          <w:p>
            <w:pPr>
              <w:spacing w:after="0"/>
            </w:pPr>
            <w:r>
              <w:rPr>
                <w:sz w:val="19"/>
              </w:rPr>
              <w:t>Assess, comment, manage findings and evidence</w:t>
            </w:r>
          </w:p>
        </w:tc>
        <w:tc>
          <w:tcPr>
            <w:tcW w:type="dxa" w:w="2360"/>
            <w:tcMar>
              <w:top w:w="60" w:type="dxa"/>
              <w:left w:w="90" w:type="dxa"/>
              <w:bottom w:w="60" w:type="dxa"/>
              <w:right w:w="90" w:type="dxa"/>
            </w:tcMar>
            <w:shd w:val="clear" w:color="auto" w:fill="F2F7F6"/>
          </w:tcPr>
          <w:p>
            <w:pPr>
              <w:spacing w:after="0"/>
            </w:pPr>
            <w:r>
              <w:rPr>
                <w:sz w:val="19"/>
              </w:rPr>
              <w:t>Manage people</w:t>
            </w:r>
          </w:p>
        </w:tc>
      </w:tr>
      <w:tr>
        <w:trPr>
          <w:cantSplit w:val="true"/>
        </w:trPr>
        <w:tc>
          <w:tcPr>
            <w:tcW w:type="dxa" w:w="2195"/>
            <w:tcMar>
              <w:top w:w="60" w:type="dxa"/>
              <w:left w:w="90" w:type="dxa"/>
              <w:bottom w:w="60" w:type="dxa"/>
              <w:right w:w="90" w:type="dxa"/>
            </w:tcMar>
          </w:tcPr>
          <w:p>
            <w:pPr>
              <w:spacing w:after="0"/>
            </w:pPr>
            <w:r>
              <w:rPr>
                <w:sz w:val="19"/>
              </w:rPr>
              <w:t>Auditor</w:t>
            </w:r>
          </w:p>
        </w:tc>
        <w:tc>
          <w:tcPr>
            <w:tcW w:type="dxa" w:w="5083"/>
            <w:tcMar>
              <w:top w:w="60" w:type="dxa"/>
              <w:left w:w="90" w:type="dxa"/>
              <w:bottom w:w="60" w:type="dxa"/>
              <w:right w:w="90" w:type="dxa"/>
            </w:tcMar>
          </w:tcPr>
          <w:p>
            <w:pPr>
              <w:spacing w:after="0"/>
            </w:pPr>
            <w:r>
              <w:rPr>
                <w:sz w:val="19"/>
              </w:rPr>
              <w:t>Read assessments, findings, evidence and reports</w:t>
            </w:r>
          </w:p>
        </w:tc>
        <w:tc>
          <w:tcPr>
            <w:tcW w:type="dxa" w:w="2360"/>
            <w:tcMar>
              <w:top w:w="60" w:type="dxa"/>
              <w:left w:w="90" w:type="dxa"/>
              <w:bottom w:w="60" w:type="dxa"/>
              <w:right w:w="90" w:type="dxa"/>
            </w:tcMar>
          </w:tcPr>
          <w:p>
            <w:pPr>
              <w:spacing w:after="0"/>
            </w:pPr>
            <w:r>
              <w:rPr>
                <w:sz w:val="19"/>
              </w:rPr>
              <w:t>Change anything</w:t>
            </w:r>
          </w:p>
        </w:tc>
      </w:tr>
      <w:tr>
        <w:trPr>
          <w:cantSplit w:val="true"/>
        </w:trPr>
        <w:tc>
          <w:tcPr>
            <w:tcW w:type="dxa" w:w="2195"/>
            <w:tcMar>
              <w:top w:w="60" w:type="dxa"/>
              <w:left w:w="90" w:type="dxa"/>
              <w:bottom w:w="60" w:type="dxa"/>
              <w:right w:w="90" w:type="dxa"/>
            </w:tcMar>
            <w:shd w:val="clear" w:color="auto" w:fill="F2F7F6"/>
          </w:tcPr>
          <w:p>
            <w:pPr>
              <w:spacing w:after="0"/>
            </w:pPr>
            <w:r>
              <w:rPr>
                <w:sz w:val="19"/>
              </w:rPr>
              <w:t>Employee</w:t>
            </w:r>
          </w:p>
        </w:tc>
        <w:tc>
          <w:tcPr>
            <w:tcW w:type="dxa" w:w="5083"/>
            <w:tcMar>
              <w:top w:w="60" w:type="dxa"/>
              <w:left w:w="90" w:type="dxa"/>
              <w:bottom w:w="60" w:type="dxa"/>
              <w:right w:w="90" w:type="dxa"/>
            </w:tcMar>
            <w:shd w:val="clear" w:color="auto" w:fill="F2F7F6"/>
          </w:tcPr>
          <w:p>
            <w:pPr>
              <w:spacing w:after="0"/>
            </w:pPr>
            <w:r>
              <w:rPr>
                <w:sz w:val="19"/>
              </w:rPr>
              <w:t>Answer assigned questions and tasks</w:t>
            </w:r>
          </w:p>
        </w:tc>
        <w:tc>
          <w:tcPr>
            <w:tcW w:type="dxa" w:w="2360"/>
            <w:tcMar>
              <w:top w:w="60" w:type="dxa"/>
              <w:left w:w="90" w:type="dxa"/>
              <w:bottom w:w="60" w:type="dxa"/>
              <w:right w:w="90" w:type="dxa"/>
            </w:tcMar>
            <w:shd w:val="clear" w:color="auto" w:fill="F2F7F6"/>
          </w:tcPr>
          <w:p>
            <w:pPr>
              <w:spacing w:after="0"/>
            </w:pPr>
            <w:r>
              <w:rPr>
                <w:sz w:val="19"/>
              </w:rPr>
              <w:t>See other people's data</w:t>
            </w:r>
          </w:p>
        </w:tc>
      </w:tr>
    </w:tbl>
    <w:p>
      <w:pPr>
        <w:spacing w:after="40"/>
      </w:pPr>
    </w:p>
    <w:p>
      <w:r>
        <w:t>The AssureLoom platform team cannot see your assessments, evidence or findings unless you approve a time-limited, read-only support session.</w:t>
      </w:r>
    </w:p>
    <w:p>
      <w:r>
        <w:br w:type="page"/>
      </w:r>
    </w:p>
    <w:p>
      <w:pPr>
        <w:pStyle w:val="Heading1"/>
      </w:pPr>
      <w:r>
        <w:t>Part 2: Detailed method, evidence and validation by framework</w:t>
      </w:r>
    </w:p>
    <w:p>
      <w:r>
        <w:t xml:space="preserve">AssureLoom measures </w:t>
      </w:r>
      <w:r>
        <w:rPr>
          <w:b/>
        </w:rPr>
        <w:t>readiness</w:t>
      </w:r>
      <w:r>
        <w:t>. A result is never a certification, an attestation or legal advice.</w:t>
      </w:r>
    </w:p>
    <w:p>
      <w:pPr>
        <w:pStyle w:val="Heading2"/>
      </w:pPr>
      <w:r>
        <w:t>1. How the product is built (so the steps make sense)</w:t>
      </w:r>
    </w:p>
    <w:p>
      <w:pPr>
        <w:pStyle w:val="ListBullet"/>
        <w:spacing w:after="60"/>
      </w:pPr>
      <w:r>
        <w:t xml:space="preserve">Every framework is a list of </w:t>
      </w:r>
      <w:r>
        <w:rPr>
          <w:b/>
        </w:rPr>
        <w:t>requirements</w:t>
      </w:r>
      <w:r>
        <w:t xml:space="preserve"> (for example ISO A.8.5 or DPDP S6-CONSENT).</w:t>
      </w:r>
    </w:p>
    <w:p>
      <w:pPr>
        <w:pStyle w:val="ListBullet"/>
        <w:spacing w:after="60"/>
      </w:pPr>
      <w:r>
        <w:t xml:space="preserve">Requirements are tied to a shared set of </w:t>
      </w:r>
      <w:r>
        <w:rPr>
          <w:b/>
        </w:rPr>
        <w:t>22 controls</w:t>
      </w:r>
      <w:r>
        <w:t xml:space="preserve"> (for example IAM-001 Strong Authentication). One control can satisfy requirements in several frameworks, so </w:t>
      </w:r>
      <w:r>
        <w:rPr>
          <w:b/>
        </w:rPr>
        <w:t>one piece of evidence can count for several frameworks</w:t>
      </w:r>
      <w:r>
        <w:t>.</w:t>
      </w:r>
    </w:p>
    <w:p>
      <w:pPr>
        <w:pStyle w:val="ListBullet"/>
        <w:spacing w:after="60"/>
      </w:pPr>
      <w:r>
        <w:t>A control is proven in one or both of two ways:</w:t>
      </w:r>
    </w:p>
    <w:p>
      <w:pPr>
        <w:spacing w:after="60"/>
        <w:ind w:left="510" w:hanging="340"/>
      </w:pPr>
      <w:r>
        <w:rPr>
          <w:b/>
          <w:color w:val="0B3B3C"/>
        </w:rPr>
        <w:t xml:space="preserve">1.  </w:t>
      </w:r>
      <w:r>
        <w:rPr>
          <w:b/>
        </w:rPr>
        <w:t>Automated check</w:t>
      </w:r>
      <w:r>
        <w:t xml:space="preserve"> (10 exist today, listed in section 4). It reads configuration from a connected system and returns pass, partial or fail.</w:t>
      </w:r>
    </w:p>
    <w:p>
      <w:pPr>
        <w:spacing w:after="60"/>
        <w:ind w:left="510" w:hanging="340"/>
      </w:pPr>
      <w:r>
        <w:rPr>
          <w:b/>
          <w:color w:val="0B3B3C"/>
        </w:rPr>
        <w:t xml:space="preserve">2.  </w:t>
      </w:r>
      <w:r>
        <w:rPr>
          <w:b/>
        </w:rPr>
        <w:t>Evidence</w:t>
      </w:r>
      <w:r>
        <w:t xml:space="preserve"> a person uploads and a reviewer validates. This is the only way for the 12 controls without an automated check, such as physical security, supplier risk and the privacy controls.</w:t>
      </w:r>
    </w:p>
    <w:p>
      <w:pPr>
        <w:pStyle w:val="ListBullet"/>
        <w:spacing w:after="60"/>
      </w:pPr>
      <w:r>
        <w:t xml:space="preserve">Until a cloud account is connected, automated checks run on </w:t>
      </w:r>
      <w:r>
        <w:rPr>
          <w:b/>
        </w:rPr>
        <w:t>sample data</w:t>
      </w:r>
      <w:r>
        <w:t xml:space="preserve"> and show provider mode </w:t>
      </w:r>
      <w:r>
        <w:rPr>
          <w:rFonts w:ascii="Consolas" w:hAnsi="Consolas" w:eastAsia="Consolas"/>
          <w:color w:val="0B5E4F"/>
        </w:rPr>
        <w:t>MOCK</w:t>
      </w:r>
      <w:r>
        <w:t>. Treat those results as a rehearsal. Connect a real system (Section 3, step 5) before relying on a result.</w:t>
      </w:r>
    </w:p>
    <w:p>
      <w:pPr>
        <w:pStyle w:val="Heading2"/>
      </w:pPr>
      <w:r>
        <w:t>2. Evidence rules (apply to every control)</w:t>
      </w:r>
    </w:p>
    <w:p>
      <w:r>
        <w:rPr>
          <w:b/>
        </w:rPr>
        <w:t>What can be uploaded:</w:t>
      </w:r>
      <w:r>
        <w:t xml:space="preserve"> PDF, Word (.docx), Excel (.xlsx), CSV, plain text, PNG and JPEG, up to 25 MB. Nothing else is accepted.</w:t>
      </w:r>
    </w:p>
    <w:p>
      <w:r>
        <w:rPr>
          <w:b/>
        </w:rPr>
        <w:t>What happens to a file:</w:t>
      </w:r>
      <w:r>
        <w:t xml:space="preserve"> it must really be the type it claims, Office files may contain no macros or embedded programs, PDFs no scripts or launch actions, and the file is scanned. If a hash lookup is switched on, a file already known as malicious is refused. A refused file shows the reason. The scan status is stored with the evidence.</w:t>
      </w:r>
    </w:p>
    <w:p>
      <w:r>
        <w:rPr>
          <w:b/>
        </w:rPr>
        <w:t>Evidence life cycle:</w:t>
      </w:r>
      <w:r>
        <w:t xml:space="preserve"> Collected → Validated → Mapped → Approved → Used in audit. Others are Expired, Replaced and Rejected. Only </w:t>
      </w:r>
      <w:r>
        <w:rPr>
          <w:b/>
        </w:rPr>
        <w:t>Approved</w:t>
      </w:r>
      <w:r>
        <w:t xml:space="preserve"> evidence counts towards a result.</w:t>
      </w:r>
    </w:p>
    <w:p>
      <w:r>
        <w:t>A reviewer validates each item against five questions. Record the answer in the review note.</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1169"/>
            <w:shd w:val="clear" w:color="auto" w:fill="0B3B3C"/>
            <w:tcMar>
              <w:top w:w="60" w:type="dxa"/>
              <w:left w:w="90" w:type="dxa"/>
              <w:bottom w:w="60" w:type="dxa"/>
              <w:right w:w="90" w:type="dxa"/>
            </w:tcMar>
          </w:tcPr>
          <w:p>
            <w:pPr>
              <w:spacing w:after="0"/>
            </w:pPr>
            <w:r>
              <w:rPr>
                <w:b/>
                <w:color w:val="FFFFFF"/>
                <w:sz w:val="19"/>
              </w:rPr>
              <w:t>Test</w:t>
            </w:r>
          </w:p>
        </w:tc>
        <w:tc>
          <w:tcPr>
            <w:tcW w:type="dxa" w:w="4235"/>
            <w:shd w:val="clear" w:color="auto" w:fill="0B3B3C"/>
            <w:tcMar>
              <w:top w:w="60" w:type="dxa"/>
              <w:left w:w="90" w:type="dxa"/>
              <w:bottom w:w="60" w:type="dxa"/>
              <w:right w:w="90" w:type="dxa"/>
            </w:tcMar>
          </w:tcPr>
          <w:p>
            <w:pPr>
              <w:spacing w:after="0"/>
            </w:pPr>
            <w:r>
              <w:rPr>
                <w:b/>
                <w:color w:val="FFFFFF"/>
                <w:sz w:val="19"/>
              </w:rPr>
              <w:t>Question</w:t>
            </w:r>
          </w:p>
        </w:tc>
        <w:tc>
          <w:tcPr>
            <w:tcW w:type="dxa" w:w="4235"/>
            <w:shd w:val="clear" w:color="auto" w:fill="0B3B3C"/>
            <w:tcMar>
              <w:top w:w="60" w:type="dxa"/>
              <w:left w:w="90" w:type="dxa"/>
              <w:bottom w:w="60" w:type="dxa"/>
              <w:right w:w="90" w:type="dxa"/>
            </w:tcMar>
          </w:tcPr>
          <w:p>
            <w:pPr>
              <w:spacing w:after="0"/>
            </w:pPr>
            <w:r>
              <w:rPr>
                <w:b/>
                <w:color w:val="FFFFFF"/>
                <w:sz w:val="19"/>
              </w:rPr>
              <w:t>Reject when</w:t>
            </w:r>
          </w:p>
        </w:tc>
      </w:tr>
      <w:tr>
        <w:trPr>
          <w:cantSplit w:val="true"/>
        </w:trPr>
        <w:tc>
          <w:tcPr>
            <w:tcW w:type="dxa" w:w="1169"/>
            <w:tcMar>
              <w:top w:w="60" w:type="dxa"/>
              <w:left w:w="90" w:type="dxa"/>
              <w:bottom w:w="60" w:type="dxa"/>
              <w:right w:w="90" w:type="dxa"/>
            </w:tcMar>
          </w:tcPr>
          <w:p>
            <w:pPr>
              <w:spacing w:after="0"/>
            </w:pPr>
            <w:r>
              <w:rPr>
                <w:sz w:val="19"/>
              </w:rPr>
              <w:t>Relevant</w:t>
            </w:r>
          </w:p>
        </w:tc>
        <w:tc>
          <w:tcPr>
            <w:tcW w:type="dxa" w:w="4235"/>
            <w:tcMar>
              <w:top w:w="60" w:type="dxa"/>
              <w:left w:w="90" w:type="dxa"/>
              <w:bottom w:w="60" w:type="dxa"/>
              <w:right w:w="90" w:type="dxa"/>
            </w:tcMar>
          </w:tcPr>
          <w:p>
            <w:pPr>
              <w:spacing w:after="0"/>
            </w:pPr>
            <w:r>
              <w:rPr>
                <w:sz w:val="19"/>
              </w:rPr>
              <w:t>Does it show the control operating, not just exist?</w:t>
            </w:r>
          </w:p>
        </w:tc>
        <w:tc>
          <w:tcPr>
            <w:tcW w:type="dxa" w:w="4235"/>
            <w:tcMar>
              <w:top w:w="60" w:type="dxa"/>
              <w:left w:w="90" w:type="dxa"/>
              <w:bottom w:w="60" w:type="dxa"/>
              <w:right w:w="90" w:type="dxa"/>
            </w:tcMar>
          </w:tcPr>
          <w:p>
            <w:pPr>
              <w:spacing w:after="0"/>
            </w:pPr>
            <w:r>
              <w:rPr>
                <w:sz w:val="19"/>
              </w:rPr>
              <w:t>A blank template, a generic vendor brochure</w:t>
            </w:r>
          </w:p>
        </w:tc>
      </w:tr>
      <w:tr>
        <w:trPr>
          <w:cantSplit w:val="true"/>
        </w:trPr>
        <w:tc>
          <w:tcPr>
            <w:tcW w:type="dxa" w:w="1169"/>
            <w:tcMar>
              <w:top w:w="60" w:type="dxa"/>
              <w:left w:w="90" w:type="dxa"/>
              <w:bottom w:w="60" w:type="dxa"/>
              <w:right w:w="90" w:type="dxa"/>
            </w:tcMar>
            <w:shd w:val="clear" w:color="auto" w:fill="F2F7F6"/>
          </w:tcPr>
          <w:p>
            <w:pPr>
              <w:spacing w:after="0"/>
            </w:pPr>
            <w:r>
              <w:rPr>
                <w:sz w:val="19"/>
              </w:rPr>
              <w:t>Current</w:t>
            </w:r>
          </w:p>
        </w:tc>
        <w:tc>
          <w:tcPr>
            <w:tcW w:type="dxa" w:w="4235"/>
            <w:tcMar>
              <w:top w:w="60" w:type="dxa"/>
              <w:left w:w="90" w:type="dxa"/>
              <w:bottom w:w="60" w:type="dxa"/>
              <w:right w:w="90" w:type="dxa"/>
            </w:tcMar>
            <w:shd w:val="clear" w:color="auto" w:fill="F2F7F6"/>
          </w:tcPr>
          <w:p>
            <w:pPr>
              <w:spacing w:after="0"/>
            </w:pPr>
            <w:r>
              <w:rPr>
                <w:sz w:val="19"/>
              </w:rPr>
              <w:t>Is the date inside the review period (normally the last 12 months; logs and scans the last 90 days)?</w:t>
            </w:r>
          </w:p>
        </w:tc>
        <w:tc>
          <w:tcPr>
            <w:tcW w:type="dxa" w:w="4235"/>
            <w:tcMar>
              <w:top w:w="60" w:type="dxa"/>
              <w:left w:w="90" w:type="dxa"/>
              <w:bottom w:w="60" w:type="dxa"/>
              <w:right w:w="90" w:type="dxa"/>
            </w:tcMar>
            <w:shd w:val="clear" w:color="auto" w:fill="F2F7F6"/>
          </w:tcPr>
          <w:p>
            <w:pPr>
              <w:spacing w:after="0"/>
            </w:pPr>
            <w:r>
              <w:rPr>
                <w:sz w:val="19"/>
              </w:rPr>
              <w:t>Undated, or older than the period</w:t>
            </w:r>
          </w:p>
        </w:tc>
      </w:tr>
      <w:tr>
        <w:trPr>
          <w:cantSplit w:val="true"/>
        </w:trPr>
        <w:tc>
          <w:tcPr>
            <w:tcW w:type="dxa" w:w="1169"/>
            <w:tcMar>
              <w:top w:w="60" w:type="dxa"/>
              <w:left w:w="90" w:type="dxa"/>
              <w:bottom w:w="60" w:type="dxa"/>
              <w:right w:w="90" w:type="dxa"/>
            </w:tcMar>
          </w:tcPr>
          <w:p>
            <w:pPr>
              <w:spacing w:after="0"/>
            </w:pPr>
            <w:r>
              <w:rPr>
                <w:sz w:val="19"/>
              </w:rPr>
              <w:t>Complete</w:t>
            </w:r>
          </w:p>
        </w:tc>
        <w:tc>
          <w:tcPr>
            <w:tcW w:type="dxa" w:w="4235"/>
            <w:tcMar>
              <w:top w:w="60" w:type="dxa"/>
              <w:left w:w="90" w:type="dxa"/>
              <w:bottom w:w="60" w:type="dxa"/>
              <w:right w:w="90" w:type="dxa"/>
            </w:tcMar>
          </w:tcPr>
          <w:p>
            <w:pPr>
              <w:spacing w:after="0"/>
            </w:pPr>
            <w:r>
              <w:rPr>
                <w:sz w:val="19"/>
              </w:rPr>
              <w:t>Does it cover the whole scope (all systems, all staff, all sites claimed)?</w:t>
            </w:r>
          </w:p>
        </w:tc>
        <w:tc>
          <w:tcPr>
            <w:tcW w:type="dxa" w:w="4235"/>
            <w:tcMar>
              <w:top w:w="60" w:type="dxa"/>
              <w:left w:w="90" w:type="dxa"/>
              <w:bottom w:w="60" w:type="dxa"/>
              <w:right w:w="90" w:type="dxa"/>
            </w:tcMar>
          </w:tcPr>
          <w:p>
            <w:pPr>
              <w:spacing w:after="0"/>
            </w:pPr>
            <w:r>
              <w:rPr>
                <w:sz w:val="19"/>
              </w:rPr>
              <w:t>Only a sample is shown, and the sample is not explained</w:t>
            </w:r>
          </w:p>
        </w:tc>
      </w:tr>
      <w:tr>
        <w:trPr>
          <w:cantSplit w:val="true"/>
        </w:trPr>
        <w:tc>
          <w:tcPr>
            <w:tcW w:type="dxa" w:w="1169"/>
            <w:tcMar>
              <w:top w:w="60" w:type="dxa"/>
              <w:left w:w="90" w:type="dxa"/>
              <w:bottom w:w="60" w:type="dxa"/>
              <w:right w:w="90" w:type="dxa"/>
            </w:tcMar>
            <w:shd w:val="clear" w:color="auto" w:fill="F2F7F6"/>
          </w:tcPr>
          <w:p>
            <w:pPr>
              <w:spacing w:after="0"/>
            </w:pPr>
            <w:r>
              <w:rPr>
                <w:sz w:val="19"/>
              </w:rPr>
              <w:t>Attributable</w:t>
            </w:r>
          </w:p>
        </w:tc>
        <w:tc>
          <w:tcPr>
            <w:tcW w:type="dxa" w:w="4235"/>
            <w:tcMar>
              <w:top w:w="60" w:type="dxa"/>
              <w:left w:w="90" w:type="dxa"/>
              <w:bottom w:w="60" w:type="dxa"/>
              <w:right w:w="90" w:type="dxa"/>
            </w:tcMar>
            <w:shd w:val="clear" w:color="auto" w:fill="F2F7F6"/>
          </w:tcPr>
          <w:p>
            <w:pPr>
              <w:spacing w:after="0"/>
            </w:pPr>
            <w:r>
              <w:rPr>
                <w:sz w:val="19"/>
              </w:rPr>
              <w:t>Can you tell who produced it, from which system, when?</w:t>
            </w:r>
          </w:p>
        </w:tc>
        <w:tc>
          <w:tcPr>
            <w:tcW w:type="dxa" w:w="4235"/>
            <w:tcMar>
              <w:top w:w="60" w:type="dxa"/>
              <w:left w:w="90" w:type="dxa"/>
              <w:bottom w:w="60" w:type="dxa"/>
              <w:right w:w="90" w:type="dxa"/>
            </w:tcMar>
            <w:shd w:val="clear" w:color="auto" w:fill="F2F7F6"/>
          </w:tcPr>
          <w:p>
            <w:pPr>
              <w:spacing w:after="0"/>
            </w:pPr>
            <w:r>
              <w:rPr>
                <w:sz w:val="19"/>
              </w:rPr>
              <w:t>No author, no system name, no timestamp</w:t>
            </w:r>
          </w:p>
        </w:tc>
      </w:tr>
      <w:tr>
        <w:trPr>
          <w:cantSplit w:val="true"/>
        </w:trPr>
        <w:tc>
          <w:tcPr>
            <w:tcW w:type="dxa" w:w="1169"/>
            <w:tcMar>
              <w:top w:w="60" w:type="dxa"/>
              <w:left w:w="90" w:type="dxa"/>
              <w:bottom w:w="60" w:type="dxa"/>
              <w:right w:w="90" w:type="dxa"/>
            </w:tcMar>
          </w:tcPr>
          <w:p>
            <w:pPr>
              <w:spacing w:after="0"/>
            </w:pPr>
            <w:r>
              <w:rPr>
                <w:sz w:val="19"/>
              </w:rPr>
              <w:t>Authentic</w:t>
            </w:r>
          </w:p>
        </w:tc>
        <w:tc>
          <w:tcPr>
            <w:tcW w:type="dxa" w:w="4235"/>
            <w:tcMar>
              <w:top w:w="60" w:type="dxa"/>
              <w:left w:w="90" w:type="dxa"/>
              <w:bottom w:w="60" w:type="dxa"/>
              <w:right w:w="90" w:type="dxa"/>
            </w:tcMar>
          </w:tcPr>
          <w:p>
            <w:pPr>
              <w:spacing w:after="0"/>
            </w:pPr>
            <w:r>
              <w:rPr>
                <w:sz w:val="19"/>
              </w:rPr>
              <w:t>Is it an original export or screenshot, not an edited copy?</w:t>
            </w:r>
          </w:p>
        </w:tc>
        <w:tc>
          <w:tcPr>
            <w:tcW w:type="dxa" w:w="4235"/>
            <w:tcMar>
              <w:top w:w="60" w:type="dxa"/>
              <w:left w:w="90" w:type="dxa"/>
              <w:bottom w:w="60" w:type="dxa"/>
              <w:right w:w="90" w:type="dxa"/>
            </w:tcMar>
          </w:tcPr>
          <w:p>
            <w:pPr>
              <w:spacing w:after="0"/>
            </w:pPr>
            <w:r>
              <w:rPr>
                <w:sz w:val="19"/>
              </w:rPr>
              <w:t>Cropped screenshots hiding the date or account, retyped tables</w:t>
            </w:r>
          </w:p>
        </w:tc>
      </w:tr>
    </w:tbl>
    <w:p>
      <w:pPr>
        <w:spacing w:after="40"/>
      </w:pPr>
    </w:p>
    <w:p>
      <w:r>
        <w:rPr>
          <w:b/>
        </w:rPr>
        <w:t>Capturing evidence well:</w:t>
      </w:r>
      <w:r>
        <w:t xml:space="preserve"> export from the source system instead of retyping. Screenshots must show the system name, the account, and the date and time. Remove personal data that is not needed. Name files </w:t>
      </w:r>
      <w:r>
        <w:rPr>
          <w:rFonts w:ascii="Consolas" w:hAnsi="Consolas" w:eastAsia="Consolas"/>
          <w:color w:val="0B5E4F"/>
        </w:rPr>
        <w:t>CONTROL-code_what_YYYY-MM-DD</w:t>
      </w:r>
      <w:r>
        <w:t xml:space="preserve"> (for example </w:t>
      </w:r>
      <w:r>
        <w:rPr>
          <w:rFonts w:ascii="Consolas" w:hAnsi="Consolas" w:eastAsia="Consolas"/>
          <w:color w:val="0B5E4F"/>
        </w:rPr>
        <w:t>IAM-001_entra-mfa-report_2026-10-28.pdf</w:t>
      </w:r>
      <w:r>
        <w:t>).</w:t>
      </w:r>
    </w:p>
    <w:p>
      <w:r>
        <w:rPr>
          <w:b/>
        </w:rPr>
        <w:t>Review period and expiry:</w:t>
      </w:r>
      <w:r>
        <w:t xml:space="preserve"> set an expiry on each item. The assessment flags expired evidence, and the control drops back to "not evidenced".</w:t>
      </w:r>
    </w:p>
    <w:p>
      <w:pPr>
        <w:pStyle w:val="Heading2"/>
      </w:pPr>
      <w:r>
        <w:t>3. Method for any framework (the loop)</w:t>
      </w:r>
    </w:p>
    <w:p>
      <w:pPr>
        <w:spacing w:after="60"/>
        <w:ind w:left="510" w:hanging="340"/>
      </w:pPr>
      <w:r>
        <w:rPr>
          <w:b/>
          <w:color w:val="0B3B3C"/>
        </w:rPr>
        <w:t xml:space="preserve">1.  </w:t>
      </w:r>
      <w:r>
        <w:rPr>
          <w:b/>
        </w:rPr>
        <w:t>Scope.</w:t>
      </w:r>
      <w:r>
        <w:t xml:space="preserve"> Note which entities, sites, systems and people are in scope. Write this in the first evidence file (</w:t>
      </w:r>
      <w:r>
        <w:rPr>
          <w:rFonts w:ascii="Consolas" w:hAnsi="Consolas" w:eastAsia="Consolas"/>
          <w:color w:val="0B5E4F"/>
        </w:rPr>
        <w:t>GOV_scope-statement_date.pdf</w:t>
      </w:r>
      <w:r>
        <w:t>) so a reviewer knows what "complete" means.</w:t>
      </w:r>
    </w:p>
    <w:p>
      <w:pPr>
        <w:spacing w:after="60"/>
        <w:ind w:left="510" w:hanging="340"/>
      </w:pPr>
      <w:r>
        <w:rPr>
          <w:b/>
          <w:color w:val="0B3B3C"/>
        </w:rPr>
        <w:t xml:space="preserve">2.  </w:t>
      </w:r>
      <w:r>
        <w:rPr>
          <w:b/>
        </w:rPr>
        <w:t>Select.</w:t>
      </w:r>
      <w:r>
        <w:t xml:space="preserve"> Compliance management → Framework library → select the framework. Add industry verticals if they apply.</w:t>
      </w:r>
    </w:p>
    <w:p>
      <w:pPr>
        <w:spacing w:after="60"/>
        <w:ind w:left="510" w:hanging="340"/>
      </w:pPr>
      <w:r>
        <w:rPr>
          <w:b/>
          <w:color w:val="0B3B3C"/>
        </w:rPr>
        <w:t xml:space="preserve">3.  </w:t>
      </w:r>
      <w:r>
        <w:rPr>
          <w:b/>
        </w:rPr>
        <w:t>People.</w:t>
      </w:r>
      <w:r>
        <w:t xml:space="preserve"> Administration → Users &amp; roles. Give each control owner an account with the smallest role. Add the reviewer and, if used, an auditor (read-only).</w:t>
      </w:r>
    </w:p>
    <w:p>
      <w:pPr>
        <w:spacing w:after="60"/>
        <w:ind w:left="510" w:hanging="340"/>
      </w:pPr>
      <w:r>
        <w:rPr>
          <w:b/>
          <w:color w:val="0B3B3C"/>
        </w:rPr>
        <w:t xml:space="preserve">4.  </w:t>
      </w:r>
      <w:r>
        <w:rPr>
          <w:b/>
        </w:rPr>
        <w:t>Assign.</w:t>
      </w:r>
      <w:r>
        <w:t xml:space="preserve"> For each requirement, name a control owner and a due date.</w:t>
      </w:r>
    </w:p>
    <w:p>
      <w:pPr>
        <w:spacing w:after="60"/>
        <w:ind w:left="510" w:hanging="340"/>
      </w:pPr>
      <w:r>
        <w:rPr>
          <w:b/>
          <w:color w:val="0B3B3C"/>
        </w:rPr>
        <w:t xml:space="preserve">5.  </w:t>
      </w:r>
      <w:r>
        <w:rPr>
          <w:b/>
        </w:rPr>
        <w:t>Connect</w:t>
      </w:r>
      <w:r>
        <w:t xml:space="preserve"> (optional but needed for real automated results). Technology &amp; integrations → Cloud integrations. Use the read-only option.</w:t>
      </w:r>
    </w:p>
    <w:p>
      <w:pPr>
        <w:spacing w:after="60"/>
        <w:ind w:left="510" w:hanging="340"/>
      </w:pPr>
      <w:r>
        <w:rPr>
          <w:b/>
          <w:color w:val="0B3B3C"/>
        </w:rPr>
        <w:t xml:space="preserve">6.  </w:t>
      </w:r>
      <w:r>
        <w:rPr>
          <w:b/>
        </w:rPr>
        <w:t>Assess.</w:t>
      </w:r>
      <w:r>
        <w:t xml:space="preserve"> Compliance management → Assessments → start. Automated checks run; for the rest, the owner answers and attaches evidence.</w:t>
      </w:r>
    </w:p>
    <w:p>
      <w:pPr>
        <w:spacing w:after="60"/>
        <w:ind w:left="510" w:hanging="340"/>
      </w:pPr>
      <w:r>
        <w:rPr>
          <w:b/>
          <w:color w:val="0B3B3C"/>
        </w:rPr>
        <w:t xml:space="preserve">7.  </w:t>
      </w:r>
      <w:r>
        <w:rPr>
          <w:b/>
        </w:rPr>
        <w:t>Validate.</w:t>
      </w:r>
      <w:r>
        <w:t xml:space="preserve"> The reviewer works through the evidence queue using the five tests in section 2, then approves or rejects each item with a note.</w:t>
      </w:r>
    </w:p>
    <w:p>
      <w:pPr>
        <w:spacing w:after="60"/>
        <w:ind w:left="510" w:hanging="340"/>
      </w:pPr>
      <w:r>
        <w:rPr>
          <w:b/>
          <w:color w:val="0B3B3C"/>
        </w:rPr>
        <w:t xml:space="preserve">8.  </w:t>
      </w:r>
      <w:r>
        <w:rPr>
          <w:b/>
        </w:rPr>
        <w:t>Findings.</w:t>
      </w:r>
      <w:r>
        <w:t xml:space="preserve"> Anything not met becomes a finding (Risk &amp; assurance → Findings). Assign an owner, severity and due date.</w:t>
      </w:r>
    </w:p>
    <w:p>
      <w:pPr>
        <w:spacing w:after="60"/>
        <w:ind w:left="510" w:hanging="340"/>
      </w:pPr>
      <w:r>
        <w:rPr>
          <w:b/>
          <w:color w:val="0B3B3C"/>
        </w:rPr>
        <w:t xml:space="preserve">9.  </w:t>
      </w:r>
      <w:r>
        <w:rPr>
          <w:b/>
        </w:rPr>
        <w:t>Remediate.</w:t>
      </w:r>
      <w:r>
        <w:t xml:space="preserve"> Create a remediation task, do the work, attach the proof that it is fixed.</w:t>
      </w:r>
    </w:p>
    <w:p>
      <w:pPr>
        <w:spacing w:after="60"/>
        <w:ind w:left="510" w:hanging="340"/>
      </w:pPr>
      <w:r>
        <w:rPr>
          <w:b/>
          <w:color w:val="0B3B3C"/>
        </w:rPr>
        <w:t xml:space="preserve">10.  </w:t>
      </w:r>
      <w:r>
        <w:rPr>
          <w:b/>
        </w:rPr>
        <w:t>Re-assess.</w:t>
      </w:r>
      <w:r>
        <w:t xml:space="preserve"> Run the assessment again. The earlier result is kept for comparison.</w:t>
      </w:r>
    </w:p>
    <w:p>
      <w:pPr>
        <w:spacing w:after="60"/>
        <w:ind w:left="510" w:hanging="340"/>
      </w:pPr>
      <w:r>
        <w:rPr>
          <w:b/>
          <w:color w:val="0B3B3C"/>
        </w:rPr>
        <w:t xml:space="preserve">11.  </w:t>
      </w:r>
      <w:r>
        <w:rPr>
          <w:b/>
        </w:rPr>
        <w:t>Report and sign off.</w:t>
      </w:r>
      <w:r>
        <w:t xml:space="preserve"> Report centre → create the report. The reviewer signs off. Audit log shows who did what.</w:t>
      </w:r>
    </w:p>
    <w:p>
      <w:r>
        <w:rPr>
          <w:b/>
        </w:rPr>
        <w:t>Result meaning:</w:t>
      </w:r>
      <w:r>
        <w:t xml:space="preserve"> </w:t>
      </w:r>
      <w:r>
        <w:rPr>
          <w:i/>
        </w:rPr>
        <w:t>Met</w:t>
      </w:r>
      <w:r>
        <w:t xml:space="preserve"> = check passed or approved evidence covers the whole requirement. </w:t>
      </w:r>
      <w:r>
        <w:rPr>
          <w:i/>
        </w:rPr>
        <w:t>Partly met</w:t>
      </w:r>
      <w:r>
        <w:t xml:space="preserve"> = some scope or some evidence missing. </w:t>
      </w:r>
      <w:r>
        <w:rPr>
          <w:i/>
        </w:rPr>
        <w:t>Not met</w:t>
      </w:r>
      <w:r>
        <w:t xml:space="preserve"> = failed check or no valid evidence. </w:t>
      </w:r>
      <w:r>
        <w:rPr>
          <w:i/>
        </w:rPr>
        <w:t>Not applicable</w:t>
      </w:r>
      <w:r>
        <w:t xml:space="preserve"> = needs a written reason and a reviewer's approval.</w:t>
      </w:r>
    </w:p>
    <w:p>
      <w:pPr>
        <w:pStyle w:val="Heading2"/>
      </w:pPr>
      <w:r>
        <w:t>4. Control catalogue: what to capture and how to validate it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1928"/>
        <w:gridCol w:w="1928"/>
        <w:gridCol w:w="1928"/>
        <w:gridCol w:w="1928"/>
        <w:gridCol w:w="1928"/>
      </w:tblGrid>
      <w:tr>
        <w:trPr>
          <w:tblHeader w:val="true"/>
        </w:trPr>
        <w:tc>
          <w:tcPr>
            <w:tcW w:type="dxa" w:w="1658"/>
            <w:shd w:val="clear" w:color="auto" w:fill="0B3B3C"/>
            <w:tcMar>
              <w:top w:w="60" w:type="dxa"/>
              <w:left w:w="90" w:type="dxa"/>
              <w:bottom w:w="60" w:type="dxa"/>
              <w:right w:w="90" w:type="dxa"/>
            </w:tcMar>
          </w:tcPr>
          <w:p>
            <w:pPr>
              <w:spacing w:after="0"/>
            </w:pPr>
            <w:r>
              <w:rPr>
                <w:b/>
                <w:color w:val="FFFFFF"/>
                <w:sz w:val="17"/>
              </w:rPr>
              <w:t>Control</w:t>
            </w:r>
          </w:p>
        </w:tc>
        <w:tc>
          <w:tcPr>
            <w:tcW w:type="dxa" w:w="2050"/>
            <w:shd w:val="clear" w:color="auto" w:fill="0B3B3C"/>
            <w:tcMar>
              <w:top w:w="60" w:type="dxa"/>
              <w:left w:w="90" w:type="dxa"/>
              <w:bottom w:w="60" w:type="dxa"/>
              <w:right w:w="90" w:type="dxa"/>
            </w:tcMar>
          </w:tcPr>
          <w:p>
            <w:pPr>
              <w:spacing w:after="0"/>
            </w:pPr>
            <w:r>
              <w:rPr>
                <w:b/>
                <w:color w:val="FFFFFF"/>
                <w:sz w:val="17"/>
              </w:rPr>
              <w:t>What to do</w:t>
            </w:r>
          </w:p>
        </w:tc>
        <w:tc>
          <w:tcPr>
            <w:tcW w:type="dxa" w:w="2050"/>
            <w:shd w:val="clear" w:color="auto" w:fill="0B3B3C"/>
            <w:tcMar>
              <w:top w:w="60" w:type="dxa"/>
              <w:left w:w="90" w:type="dxa"/>
              <w:bottom w:w="60" w:type="dxa"/>
              <w:right w:w="90" w:type="dxa"/>
            </w:tcMar>
          </w:tcPr>
          <w:p>
            <w:pPr>
              <w:spacing w:after="0"/>
            </w:pPr>
            <w:r>
              <w:rPr>
                <w:b/>
                <w:color w:val="FFFFFF"/>
                <w:sz w:val="17"/>
              </w:rPr>
              <w:t>Evidence to capture</w:t>
            </w:r>
          </w:p>
        </w:tc>
        <w:tc>
          <w:tcPr>
            <w:tcW w:type="dxa" w:w="2050"/>
            <w:shd w:val="clear" w:color="auto" w:fill="0B3B3C"/>
            <w:tcMar>
              <w:top w:w="60" w:type="dxa"/>
              <w:left w:w="90" w:type="dxa"/>
              <w:bottom w:w="60" w:type="dxa"/>
              <w:right w:w="90" w:type="dxa"/>
            </w:tcMar>
          </w:tcPr>
          <w:p>
            <w:pPr>
              <w:spacing w:after="0"/>
            </w:pPr>
            <w:r>
              <w:rPr>
                <w:b/>
                <w:color w:val="FFFFFF"/>
                <w:sz w:val="17"/>
              </w:rPr>
              <w:t>Validation (reviewer confirms)</w:t>
            </w:r>
          </w:p>
        </w:tc>
        <w:tc>
          <w:tcPr>
            <w:tcW w:type="dxa" w:w="1829"/>
            <w:shd w:val="clear" w:color="auto" w:fill="0B3B3C"/>
            <w:tcMar>
              <w:top w:w="60" w:type="dxa"/>
              <w:left w:w="90" w:type="dxa"/>
              <w:bottom w:w="60" w:type="dxa"/>
              <w:right w:w="90" w:type="dxa"/>
            </w:tcMar>
          </w:tcPr>
          <w:p>
            <w:pPr>
              <w:spacing w:after="0"/>
            </w:pPr>
            <w:r>
              <w:rPr>
                <w:b/>
                <w:color w:val="FFFFFF"/>
                <w:sz w:val="17"/>
              </w:rPr>
              <w:t>Automated check</w:t>
            </w:r>
          </w:p>
        </w:tc>
      </w:tr>
      <w:tr>
        <w:trPr>
          <w:cantSplit w:val="true"/>
        </w:trPr>
        <w:tc>
          <w:tcPr>
            <w:tcW w:type="dxa" w:w="1658"/>
            <w:tcMar>
              <w:top w:w="60" w:type="dxa"/>
              <w:left w:w="90" w:type="dxa"/>
              <w:bottom w:w="60" w:type="dxa"/>
              <w:right w:w="90" w:type="dxa"/>
            </w:tcMar>
          </w:tcPr>
          <w:p>
            <w:pPr>
              <w:spacing w:after="0"/>
            </w:pPr>
            <w:r>
              <w:rPr>
                <w:b/>
                <w:sz w:val="17"/>
              </w:rPr>
              <w:t>GOV-001</w:t>
            </w:r>
            <w:r>
              <w:rPr>
                <w:sz w:val="17"/>
              </w:rPr>
              <w:t xml:space="preserve"> Policy management and review</w:t>
            </w:r>
          </w:p>
        </w:tc>
        <w:tc>
          <w:tcPr>
            <w:tcW w:type="dxa" w:w="2050"/>
            <w:tcMar>
              <w:top w:w="60" w:type="dxa"/>
              <w:left w:w="90" w:type="dxa"/>
              <w:bottom w:w="60" w:type="dxa"/>
              <w:right w:w="90" w:type="dxa"/>
            </w:tcMar>
          </w:tcPr>
          <w:p>
            <w:pPr>
              <w:spacing w:after="0"/>
            </w:pPr>
            <w:r>
              <w:rPr>
                <w:sz w:val="17"/>
              </w:rPr>
              <w:t>Keep approved security policies reviewed on a set cycle</w:t>
            </w:r>
          </w:p>
        </w:tc>
        <w:tc>
          <w:tcPr>
            <w:tcW w:type="dxa" w:w="2050"/>
            <w:tcMar>
              <w:top w:w="60" w:type="dxa"/>
              <w:left w:w="90" w:type="dxa"/>
              <w:bottom w:w="60" w:type="dxa"/>
              <w:right w:w="90" w:type="dxa"/>
            </w:tcMar>
          </w:tcPr>
          <w:p>
            <w:pPr>
              <w:spacing w:after="0"/>
            </w:pPr>
            <w:r>
              <w:rPr>
                <w:sz w:val="17"/>
              </w:rPr>
              <w:t>Policy documents with version, owner, approval date; review log or sign-off sheet</w:t>
            </w:r>
          </w:p>
        </w:tc>
        <w:tc>
          <w:tcPr>
            <w:tcW w:type="dxa" w:w="2050"/>
            <w:tcMar>
              <w:top w:w="60" w:type="dxa"/>
              <w:left w:w="90" w:type="dxa"/>
              <w:bottom w:w="60" w:type="dxa"/>
              <w:right w:w="90" w:type="dxa"/>
            </w:tcMar>
          </w:tcPr>
          <w:p>
            <w:pPr>
              <w:spacing w:after="0"/>
            </w:pPr>
            <w:r>
              <w:rPr>
                <w:sz w:val="17"/>
              </w:rPr>
              <w:t>Each policy approved by a named owner, reviewed within its cadence (usually 12 months), covers the stated scope</w:t>
            </w:r>
          </w:p>
        </w:tc>
        <w:tc>
          <w:tcPr>
            <w:tcW w:type="dxa" w:w="1829"/>
            <w:tcMar>
              <w:top w:w="60" w:type="dxa"/>
              <w:left w:w="90" w:type="dxa"/>
              <w:bottom w:w="60" w:type="dxa"/>
              <w:right w:w="90" w:type="dxa"/>
            </w:tcMar>
          </w:tcPr>
          <w:p>
            <w:pPr>
              <w:spacing w:after="0"/>
            </w:pPr>
            <w:r>
              <w:rPr>
                <w:sz w:val="17"/>
              </w:rPr>
              <w:t>POLICY-REVIEW-001 (policies reviewed within cadence)</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IAM-001</w:t>
            </w:r>
            <w:r>
              <w:rPr>
                <w:sz w:val="17"/>
              </w:rPr>
              <w:t xml:space="preserve"> Strong authentication</w:t>
            </w:r>
          </w:p>
        </w:tc>
        <w:tc>
          <w:tcPr>
            <w:tcW w:type="dxa" w:w="2050"/>
            <w:tcMar>
              <w:top w:w="60" w:type="dxa"/>
              <w:left w:w="90" w:type="dxa"/>
              <w:bottom w:w="60" w:type="dxa"/>
              <w:right w:w="90" w:type="dxa"/>
            </w:tcMar>
            <w:shd w:val="clear" w:color="auto" w:fill="F2F7F6"/>
          </w:tcPr>
          <w:p>
            <w:pPr>
              <w:spacing w:after="0"/>
            </w:pPr>
            <w:r>
              <w:rPr>
                <w:sz w:val="17"/>
              </w:rPr>
              <w:t>Enforce MFA for all users</w:t>
            </w:r>
          </w:p>
        </w:tc>
        <w:tc>
          <w:tcPr>
            <w:tcW w:type="dxa" w:w="2050"/>
            <w:tcMar>
              <w:top w:w="60" w:type="dxa"/>
              <w:left w:w="90" w:type="dxa"/>
              <w:bottom w:w="60" w:type="dxa"/>
              <w:right w:w="90" w:type="dxa"/>
            </w:tcMar>
            <w:shd w:val="clear" w:color="auto" w:fill="F2F7F6"/>
          </w:tcPr>
          <w:p>
            <w:pPr>
              <w:spacing w:after="0"/>
            </w:pPr>
            <w:r>
              <w:rPr>
                <w:sz w:val="17"/>
              </w:rPr>
              <w:t>MFA coverage report from the identity provider; conditional-access or sign-in policy export</w:t>
            </w:r>
          </w:p>
        </w:tc>
        <w:tc>
          <w:tcPr>
            <w:tcW w:type="dxa" w:w="2050"/>
            <w:tcMar>
              <w:top w:w="60" w:type="dxa"/>
              <w:left w:w="90" w:type="dxa"/>
              <w:bottom w:w="60" w:type="dxa"/>
              <w:right w:w="90" w:type="dxa"/>
            </w:tcMar>
            <w:shd w:val="clear" w:color="auto" w:fill="F2F7F6"/>
          </w:tcPr>
          <w:p>
            <w:pPr>
              <w:spacing w:after="0"/>
            </w:pPr>
            <w:r>
              <w:rPr>
                <w:sz w:val="17"/>
              </w:rPr>
              <w:t>100 % of in-scope users covered; exceptions listed with approval and expiry</w:t>
            </w:r>
          </w:p>
        </w:tc>
        <w:tc>
          <w:tcPr>
            <w:tcW w:type="dxa" w:w="1829"/>
            <w:tcMar>
              <w:top w:w="60" w:type="dxa"/>
              <w:left w:w="90" w:type="dxa"/>
              <w:bottom w:w="60" w:type="dxa"/>
              <w:right w:w="90" w:type="dxa"/>
            </w:tcMar>
            <w:shd w:val="clear" w:color="auto" w:fill="F2F7F6"/>
          </w:tcPr>
          <w:p>
            <w:pPr>
              <w:spacing w:after="0"/>
            </w:pPr>
            <w:r>
              <w:rPr>
                <w:sz w:val="17"/>
              </w:rPr>
              <w:t>IAM-MFA-001</w:t>
            </w:r>
          </w:p>
        </w:tc>
      </w:tr>
      <w:tr>
        <w:trPr>
          <w:cantSplit w:val="true"/>
        </w:trPr>
        <w:tc>
          <w:tcPr>
            <w:tcW w:type="dxa" w:w="1658"/>
            <w:tcMar>
              <w:top w:w="60" w:type="dxa"/>
              <w:left w:w="90" w:type="dxa"/>
              <w:bottom w:w="60" w:type="dxa"/>
              <w:right w:w="90" w:type="dxa"/>
            </w:tcMar>
          </w:tcPr>
          <w:p>
            <w:pPr>
              <w:spacing w:after="0"/>
            </w:pPr>
            <w:r>
              <w:rPr>
                <w:b/>
                <w:sz w:val="17"/>
              </w:rPr>
              <w:t>IAM-002</w:t>
            </w:r>
            <w:r>
              <w:rPr>
                <w:sz w:val="17"/>
              </w:rPr>
              <w:t xml:space="preserve"> Privileged access</w:t>
            </w:r>
          </w:p>
        </w:tc>
        <w:tc>
          <w:tcPr>
            <w:tcW w:type="dxa" w:w="2050"/>
            <w:tcMar>
              <w:top w:w="60" w:type="dxa"/>
              <w:left w:w="90" w:type="dxa"/>
              <w:bottom w:w="60" w:type="dxa"/>
              <w:right w:w="90" w:type="dxa"/>
            </w:tcMar>
          </w:tcPr>
          <w:p>
            <w:pPr>
              <w:spacing w:after="0"/>
            </w:pPr>
            <w:r>
              <w:rPr>
                <w:sz w:val="17"/>
              </w:rPr>
              <w:t>Admin accounts separate, MFA, reviewed</w:t>
            </w:r>
          </w:p>
        </w:tc>
        <w:tc>
          <w:tcPr>
            <w:tcW w:type="dxa" w:w="2050"/>
            <w:tcMar>
              <w:top w:w="60" w:type="dxa"/>
              <w:left w:w="90" w:type="dxa"/>
              <w:bottom w:w="60" w:type="dxa"/>
              <w:right w:w="90" w:type="dxa"/>
            </w:tcMar>
          </w:tcPr>
          <w:p>
            <w:pPr>
              <w:spacing w:after="0"/>
            </w:pPr>
            <w:r>
              <w:rPr>
                <w:sz w:val="17"/>
              </w:rPr>
              <w:t>List of privileged accounts and roles; last access review record; MFA status of admins</w:t>
            </w:r>
          </w:p>
        </w:tc>
        <w:tc>
          <w:tcPr>
            <w:tcW w:type="dxa" w:w="2050"/>
            <w:tcMar>
              <w:top w:w="60" w:type="dxa"/>
              <w:left w:w="90" w:type="dxa"/>
              <w:bottom w:w="60" w:type="dxa"/>
              <w:right w:w="90" w:type="dxa"/>
            </w:tcMar>
          </w:tcPr>
          <w:p>
            <w:pPr>
              <w:spacing w:after="0"/>
            </w:pPr>
            <w:r>
              <w:rPr>
                <w:sz w:val="17"/>
              </w:rPr>
              <w:t>Every admin has MFA with no exception; review within 90 days; removed leavers</w:t>
            </w:r>
          </w:p>
        </w:tc>
        <w:tc>
          <w:tcPr>
            <w:tcW w:type="dxa" w:w="1829"/>
            <w:tcMar>
              <w:top w:w="60" w:type="dxa"/>
              <w:left w:w="90" w:type="dxa"/>
              <w:bottom w:w="60" w:type="dxa"/>
              <w:right w:w="90" w:type="dxa"/>
            </w:tcMar>
          </w:tcPr>
          <w:p>
            <w:pPr>
              <w:spacing w:after="0"/>
            </w:pPr>
            <w:r>
              <w:rPr>
                <w:sz w:val="17"/>
              </w:rPr>
              <w:t>IAM-ADMIN-001</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IAM-003</w:t>
            </w:r>
            <w:r>
              <w:rPr>
                <w:sz w:val="17"/>
              </w:rPr>
              <w:t xml:space="preserve"> Account lifecycle</w:t>
            </w:r>
          </w:p>
        </w:tc>
        <w:tc>
          <w:tcPr>
            <w:tcW w:type="dxa" w:w="2050"/>
            <w:tcMar>
              <w:top w:w="60" w:type="dxa"/>
              <w:left w:w="90" w:type="dxa"/>
              <w:bottom w:w="60" w:type="dxa"/>
              <w:right w:w="90" w:type="dxa"/>
            </w:tcMar>
            <w:shd w:val="clear" w:color="auto" w:fill="F2F7F6"/>
          </w:tcPr>
          <w:p>
            <w:pPr>
              <w:spacing w:after="0"/>
            </w:pPr>
            <w:r>
              <w:rPr>
                <w:sz w:val="17"/>
              </w:rPr>
              <w:t>Joiner, mover and leaver process; disable inactive accounts</w:t>
            </w:r>
          </w:p>
        </w:tc>
        <w:tc>
          <w:tcPr>
            <w:tcW w:type="dxa" w:w="2050"/>
            <w:tcMar>
              <w:top w:w="60" w:type="dxa"/>
              <w:left w:w="90" w:type="dxa"/>
              <w:bottom w:w="60" w:type="dxa"/>
              <w:right w:w="90" w:type="dxa"/>
            </w:tcMar>
            <w:shd w:val="clear" w:color="auto" w:fill="F2F7F6"/>
          </w:tcPr>
          <w:p>
            <w:pPr>
              <w:spacing w:after="0"/>
            </w:pPr>
            <w:r>
              <w:rPr>
                <w:sz w:val="17"/>
              </w:rPr>
              <w:t>Leaver tickets or HR list matched to disabled accounts; inactive-account report</w:t>
            </w:r>
          </w:p>
        </w:tc>
        <w:tc>
          <w:tcPr>
            <w:tcW w:type="dxa" w:w="2050"/>
            <w:tcMar>
              <w:top w:w="60" w:type="dxa"/>
              <w:left w:w="90" w:type="dxa"/>
              <w:bottom w:w="60" w:type="dxa"/>
              <w:right w:w="90" w:type="dxa"/>
            </w:tcMar>
            <w:shd w:val="clear" w:color="auto" w:fill="F2F7F6"/>
          </w:tcPr>
          <w:p>
            <w:pPr>
              <w:spacing w:after="0"/>
            </w:pPr>
            <w:r>
              <w:rPr>
                <w:sz w:val="17"/>
              </w:rPr>
              <w:t>No active account for a leaver; accounts inactive 90+ days disabled</w:t>
            </w:r>
          </w:p>
        </w:tc>
        <w:tc>
          <w:tcPr>
            <w:tcW w:type="dxa" w:w="1829"/>
            <w:tcMar>
              <w:top w:w="60" w:type="dxa"/>
              <w:left w:w="90" w:type="dxa"/>
              <w:bottom w:w="60" w:type="dxa"/>
              <w:right w:w="90" w:type="dxa"/>
            </w:tcMar>
            <w:shd w:val="clear" w:color="auto" w:fill="F2F7F6"/>
          </w:tcPr>
          <w:p>
            <w:pPr>
              <w:spacing w:after="0"/>
            </w:pPr>
            <w:r>
              <w:rPr>
                <w:sz w:val="17"/>
              </w:rPr>
              <w:t>IAM-INACTIVE-USER-001</w:t>
            </w:r>
          </w:p>
        </w:tc>
      </w:tr>
      <w:tr>
        <w:trPr>
          <w:cantSplit w:val="true"/>
        </w:trPr>
        <w:tc>
          <w:tcPr>
            <w:tcW w:type="dxa" w:w="1658"/>
            <w:tcMar>
              <w:top w:w="60" w:type="dxa"/>
              <w:left w:w="90" w:type="dxa"/>
              <w:bottom w:w="60" w:type="dxa"/>
              <w:right w:w="90" w:type="dxa"/>
            </w:tcMar>
          </w:tcPr>
          <w:p>
            <w:pPr>
              <w:spacing w:after="0"/>
            </w:pPr>
            <w:r>
              <w:rPr>
                <w:b/>
                <w:sz w:val="17"/>
              </w:rPr>
              <w:t>LOG-001</w:t>
            </w:r>
            <w:r>
              <w:rPr>
                <w:sz w:val="17"/>
              </w:rPr>
              <w:t xml:space="preserve"> Audit logging and monitoring</w:t>
            </w:r>
          </w:p>
        </w:tc>
        <w:tc>
          <w:tcPr>
            <w:tcW w:type="dxa" w:w="2050"/>
            <w:tcMar>
              <w:top w:w="60" w:type="dxa"/>
              <w:left w:w="90" w:type="dxa"/>
              <w:bottom w:w="60" w:type="dxa"/>
              <w:right w:w="90" w:type="dxa"/>
            </w:tcMar>
          </w:tcPr>
          <w:p>
            <w:pPr>
              <w:spacing w:after="0"/>
            </w:pPr>
            <w:r>
              <w:rPr>
                <w:sz w:val="17"/>
              </w:rPr>
              <w:t>Central logs kept long enough; alerts reviewed</w:t>
            </w:r>
          </w:p>
        </w:tc>
        <w:tc>
          <w:tcPr>
            <w:tcW w:type="dxa" w:w="2050"/>
            <w:tcMar>
              <w:top w:w="60" w:type="dxa"/>
              <w:left w:w="90" w:type="dxa"/>
              <w:bottom w:w="60" w:type="dxa"/>
              <w:right w:w="90" w:type="dxa"/>
            </w:tcMar>
          </w:tcPr>
          <w:p>
            <w:pPr>
              <w:spacing w:after="0"/>
            </w:pPr>
            <w:r>
              <w:rPr>
                <w:sz w:val="17"/>
              </w:rPr>
              <w:t>Logging configuration export; retention setting; sample alert and its follow-up</w:t>
            </w:r>
          </w:p>
        </w:tc>
        <w:tc>
          <w:tcPr>
            <w:tcW w:type="dxa" w:w="2050"/>
            <w:tcMar>
              <w:top w:w="60" w:type="dxa"/>
              <w:left w:w="90" w:type="dxa"/>
              <w:bottom w:w="60" w:type="dxa"/>
              <w:right w:w="90" w:type="dxa"/>
            </w:tcMar>
          </w:tcPr>
          <w:p>
            <w:pPr>
              <w:spacing w:after="0"/>
            </w:pPr>
            <w:r>
              <w:rPr>
                <w:sz w:val="17"/>
              </w:rPr>
              <w:t>Logging on for in-scope systems; retention meets policy (and DPDP minimum if applicable); a reviewed alert exists</w:t>
            </w:r>
          </w:p>
        </w:tc>
        <w:tc>
          <w:tcPr>
            <w:tcW w:type="dxa" w:w="1829"/>
            <w:tcMar>
              <w:top w:w="60" w:type="dxa"/>
              <w:left w:w="90" w:type="dxa"/>
              <w:bottom w:w="60" w:type="dxa"/>
              <w:right w:w="90" w:type="dxa"/>
            </w:tcMar>
          </w:tcPr>
          <w:p>
            <w:pPr>
              <w:spacing w:after="0"/>
            </w:pPr>
            <w:r>
              <w:rPr>
                <w:sz w:val="17"/>
              </w:rPr>
              <w:t>LOG-AUDIT-001</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BCP-001</w:t>
            </w:r>
            <w:r>
              <w:rPr>
                <w:sz w:val="17"/>
              </w:rPr>
              <w:t xml:space="preserve"> Backup and recovery</w:t>
            </w:r>
          </w:p>
        </w:tc>
        <w:tc>
          <w:tcPr>
            <w:tcW w:type="dxa" w:w="2050"/>
            <w:tcMar>
              <w:top w:w="60" w:type="dxa"/>
              <w:left w:w="90" w:type="dxa"/>
              <w:bottom w:w="60" w:type="dxa"/>
              <w:right w:w="90" w:type="dxa"/>
            </w:tcMar>
            <w:shd w:val="clear" w:color="auto" w:fill="F2F7F6"/>
          </w:tcPr>
          <w:p>
            <w:pPr>
              <w:spacing w:after="0"/>
            </w:pPr>
            <w:r>
              <w:rPr>
                <w:sz w:val="17"/>
              </w:rPr>
              <w:t>Daily backups and tested restores</w:t>
            </w:r>
          </w:p>
        </w:tc>
        <w:tc>
          <w:tcPr>
            <w:tcW w:type="dxa" w:w="2050"/>
            <w:tcMar>
              <w:top w:w="60" w:type="dxa"/>
              <w:left w:w="90" w:type="dxa"/>
              <w:bottom w:w="60" w:type="dxa"/>
              <w:right w:w="90" w:type="dxa"/>
            </w:tcMar>
            <w:shd w:val="clear" w:color="auto" w:fill="F2F7F6"/>
          </w:tcPr>
          <w:p>
            <w:pPr>
              <w:spacing w:after="0"/>
            </w:pPr>
            <w:r>
              <w:rPr>
                <w:sz w:val="17"/>
              </w:rPr>
              <w:t>Backup job report (last 30 days); latest restore-test record</w:t>
            </w:r>
          </w:p>
        </w:tc>
        <w:tc>
          <w:tcPr>
            <w:tcW w:type="dxa" w:w="2050"/>
            <w:tcMar>
              <w:top w:w="60" w:type="dxa"/>
              <w:left w:w="90" w:type="dxa"/>
              <w:bottom w:w="60" w:type="dxa"/>
              <w:right w:w="90" w:type="dxa"/>
            </w:tcMar>
            <w:shd w:val="clear" w:color="auto" w:fill="F2F7F6"/>
          </w:tcPr>
          <w:p>
            <w:pPr>
              <w:spacing w:after="0"/>
            </w:pPr>
            <w:r>
              <w:rPr>
                <w:sz w:val="17"/>
              </w:rPr>
              <w:t>Jobs succeeded; a restore test in the last 12 months met its recovery target</w:t>
            </w:r>
          </w:p>
        </w:tc>
        <w:tc>
          <w:tcPr>
            <w:tcW w:type="dxa" w:w="1829"/>
            <w:tcMar>
              <w:top w:w="60" w:type="dxa"/>
              <w:left w:w="90" w:type="dxa"/>
              <w:bottom w:w="60" w:type="dxa"/>
              <w:right w:w="90" w:type="dxa"/>
            </w:tcMar>
            <w:shd w:val="clear" w:color="auto" w:fill="F2F7F6"/>
          </w:tcPr>
          <w:p>
            <w:pPr>
              <w:spacing w:after="0"/>
            </w:pPr>
            <w:r>
              <w:rPr>
                <w:sz w:val="17"/>
              </w:rPr>
              <w:t>BACKUP-001</w:t>
            </w:r>
          </w:p>
        </w:tc>
      </w:tr>
      <w:tr>
        <w:trPr>
          <w:cantSplit w:val="true"/>
        </w:trPr>
        <w:tc>
          <w:tcPr>
            <w:tcW w:type="dxa" w:w="1658"/>
            <w:tcMar>
              <w:top w:w="60" w:type="dxa"/>
              <w:left w:w="90" w:type="dxa"/>
              <w:bottom w:w="60" w:type="dxa"/>
              <w:right w:w="90" w:type="dxa"/>
            </w:tcMar>
          </w:tcPr>
          <w:p>
            <w:pPr>
              <w:spacing w:after="0"/>
            </w:pPr>
            <w:r>
              <w:rPr>
                <w:b/>
                <w:sz w:val="17"/>
              </w:rPr>
              <w:t>CRYPTO-001</w:t>
            </w:r>
            <w:r>
              <w:rPr>
                <w:sz w:val="17"/>
              </w:rPr>
              <w:t xml:space="preserve"> Encryption at rest</w:t>
            </w:r>
          </w:p>
        </w:tc>
        <w:tc>
          <w:tcPr>
            <w:tcW w:type="dxa" w:w="2050"/>
            <w:tcMar>
              <w:top w:w="60" w:type="dxa"/>
              <w:left w:w="90" w:type="dxa"/>
              <w:bottom w:w="60" w:type="dxa"/>
              <w:right w:w="90" w:type="dxa"/>
            </w:tcMar>
          </w:tcPr>
          <w:p>
            <w:pPr>
              <w:spacing w:after="0"/>
            </w:pPr>
            <w:r>
              <w:rPr>
                <w:sz w:val="17"/>
              </w:rPr>
              <w:t>Encrypt stored data</w:t>
            </w:r>
          </w:p>
        </w:tc>
        <w:tc>
          <w:tcPr>
            <w:tcW w:type="dxa" w:w="2050"/>
            <w:tcMar>
              <w:top w:w="60" w:type="dxa"/>
              <w:left w:w="90" w:type="dxa"/>
              <w:bottom w:w="60" w:type="dxa"/>
              <w:right w:w="90" w:type="dxa"/>
            </w:tcMar>
          </w:tcPr>
          <w:p>
            <w:pPr>
              <w:spacing w:after="0"/>
            </w:pPr>
            <w:r>
              <w:rPr>
                <w:sz w:val="17"/>
              </w:rPr>
              <w:t>Storage and database encryption settings export or screenshot</w:t>
            </w:r>
          </w:p>
        </w:tc>
        <w:tc>
          <w:tcPr>
            <w:tcW w:type="dxa" w:w="2050"/>
            <w:tcMar>
              <w:top w:w="60" w:type="dxa"/>
              <w:left w:w="90" w:type="dxa"/>
              <w:bottom w:w="60" w:type="dxa"/>
              <w:right w:w="90" w:type="dxa"/>
            </w:tcMar>
          </w:tcPr>
          <w:p>
            <w:pPr>
              <w:spacing w:after="0"/>
            </w:pPr>
            <w:r>
              <w:rPr>
                <w:sz w:val="17"/>
              </w:rPr>
              <w:t>All in-scope storage encrypted; key management owner named</w:t>
            </w:r>
          </w:p>
        </w:tc>
        <w:tc>
          <w:tcPr>
            <w:tcW w:type="dxa" w:w="1829"/>
            <w:tcMar>
              <w:top w:w="60" w:type="dxa"/>
              <w:left w:w="90" w:type="dxa"/>
              <w:bottom w:w="60" w:type="dxa"/>
              <w:right w:w="90" w:type="dxa"/>
            </w:tcMar>
          </w:tcPr>
          <w:p>
            <w:pPr>
              <w:spacing w:after="0"/>
            </w:pPr>
            <w:r>
              <w:rPr>
                <w:sz w:val="17"/>
              </w:rPr>
              <w:t>ENCRYPTION-001</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NET-001</w:t>
            </w:r>
            <w:r>
              <w:rPr>
                <w:sz w:val="17"/>
              </w:rPr>
              <w:t xml:space="preserve"> Public exposure prevention</w:t>
            </w:r>
          </w:p>
        </w:tc>
        <w:tc>
          <w:tcPr>
            <w:tcW w:type="dxa" w:w="2050"/>
            <w:tcMar>
              <w:top w:w="60" w:type="dxa"/>
              <w:left w:w="90" w:type="dxa"/>
              <w:bottom w:w="60" w:type="dxa"/>
              <w:right w:w="90" w:type="dxa"/>
            </w:tcMar>
            <w:shd w:val="clear" w:color="auto" w:fill="F2F7F6"/>
          </w:tcPr>
          <w:p>
            <w:pPr>
              <w:spacing w:after="0"/>
            </w:pPr>
            <w:r>
              <w:rPr>
                <w:sz w:val="17"/>
              </w:rPr>
              <w:t>No data store open to the internet</w:t>
            </w:r>
          </w:p>
        </w:tc>
        <w:tc>
          <w:tcPr>
            <w:tcW w:type="dxa" w:w="2050"/>
            <w:tcMar>
              <w:top w:w="60" w:type="dxa"/>
              <w:left w:w="90" w:type="dxa"/>
              <w:bottom w:w="60" w:type="dxa"/>
              <w:right w:w="90" w:type="dxa"/>
            </w:tcMar>
            <w:shd w:val="clear" w:color="auto" w:fill="F2F7F6"/>
          </w:tcPr>
          <w:p>
            <w:pPr>
              <w:spacing w:after="0"/>
            </w:pPr>
            <w:r>
              <w:rPr>
                <w:sz w:val="17"/>
              </w:rPr>
              <w:t>Storage public-access settings; firewall or security-group review</w:t>
            </w:r>
          </w:p>
        </w:tc>
        <w:tc>
          <w:tcPr>
            <w:tcW w:type="dxa" w:w="2050"/>
            <w:tcMar>
              <w:top w:w="60" w:type="dxa"/>
              <w:left w:w="90" w:type="dxa"/>
              <w:bottom w:w="60" w:type="dxa"/>
              <w:right w:w="90" w:type="dxa"/>
            </w:tcMar>
            <w:shd w:val="clear" w:color="auto" w:fill="F2F7F6"/>
          </w:tcPr>
          <w:p>
            <w:pPr>
              <w:spacing w:after="0"/>
            </w:pPr>
            <w:r>
              <w:rPr>
                <w:sz w:val="17"/>
              </w:rPr>
              <w:t>No public storage; exceptions approved and time-limited</w:t>
            </w:r>
          </w:p>
        </w:tc>
        <w:tc>
          <w:tcPr>
            <w:tcW w:type="dxa" w:w="1829"/>
            <w:tcMar>
              <w:top w:w="60" w:type="dxa"/>
              <w:left w:w="90" w:type="dxa"/>
              <w:bottom w:w="60" w:type="dxa"/>
              <w:right w:w="90" w:type="dxa"/>
            </w:tcMar>
            <w:shd w:val="clear" w:color="auto" w:fill="F2F7F6"/>
          </w:tcPr>
          <w:p>
            <w:pPr>
              <w:spacing w:after="0"/>
            </w:pPr>
            <w:r>
              <w:rPr>
                <w:sz w:val="17"/>
              </w:rPr>
              <w:t>PUBLIC-STORAGE-001</w:t>
            </w:r>
          </w:p>
        </w:tc>
      </w:tr>
      <w:tr>
        <w:trPr>
          <w:cantSplit w:val="true"/>
        </w:trPr>
        <w:tc>
          <w:tcPr>
            <w:tcW w:type="dxa" w:w="1658"/>
            <w:tcMar>
              <w:top w:w="60" w:type="dxa"/>
              <w:left w:w="90" w:type="dxa"/>
              <w:bottom w:w="60" w:type="dxa"/>
              <w:right w:w="90" w:type="dxa"/>
            </w:tcMar>
          </w:tcPr>
          <w:p>
            <w:pPr>
              <w:spacing w:after="0"/>
            </w:pPr>
            <w:r>
              <w:rPr>
                <w:b/>
                <w:sz w:val="17"/>
              </w:rPr>
              <w:t>VULN-001</w:t>
            </w:r>
            <w:r>
              <w:rPr>
                <w:sz w:val="17"/>
              </w:rPr>
              <w:t xml:space="preserve"> Vulnerability management</w:t>
            </w:r>
          </w:p>
        </w:tc>
        <w:tc>
          <w:tcPr>
            <w:tcW w:type="dxa" w:w="2050"/>
            <w:tcMar>
              <w:top w:w="60" w:type="dxa"/>
              <w:left w:w="90" w:type="dxa"/>
              <w:bottom w:w="60" w:type="dxa"/>
              <w:right w:w="90" w:type="dxa"/>
            </w:tcMar>
          </w:tcPr>
          <w:p>
            <w:pPr>
              <w:spacing w:after="0"/>
            </w:pPr>
            <w:r>
              <w:rPr>
                <w:sz w:val="17"/>
              </w:rPr>
              <w:t>Scan, prioritise, fix inside SLA</w:t>
            </w:r>
          </w:p>
        </w:tc>
        <w:tc>
          <w:tcPr>
            <w:tcW w:type="dxa" w:w="2050"/>
            <w:tcMar>
              <w:top w:w="60" w:type="dxa"/>
              <w:left w:w="90" w:type="dxa"/>
              <w:bottom w:w="60" w:type="dxa"/>
              <w:right w:w="90" w:type="dxa"/>
            </w:tcMar>
          </w:tcPr>
          <w:p>
            <w:pPr>
              <w:spacing w:after="0"/>
            </w:pPr>
            <w:r>
              <w:rPr>
                <w:sz w:val="17"/>
              </w:rPr>
              <w:t>Latest scan report; remediation tracker; SLA policy</w:t>
            </w:r>
          </w:p>
        </w:tc>
        <w:tc>
          <w:tcPr>
            <w:tcW w:type="dxa" w:w="2050"/>
            <w:tcMar>
              <w:top w:w="60" w:type="dxa"/>
              <w:left w:w="90" w:type="dxa"/>
              <w:bottom w:w="60" w:type="dxa"/>
              <w:right w:w="90" w:type="dxa"/>
            </w:tcMar>
          </w:tcPr>
          <w:p>
            <w:pPr>
              <w:spacing w:after="0"/>
            </w:pPr>
            <w:r>
              <w:rPr>
                <w:sz w:val="17"/>
              </w:rPr>
              <w:t>No open critical or high beyond SLA; scan within 90 days covers all in-scope assets</w:t>
            </w:r>
          </w:p>
        </w:tc>
        <w:tc>
          <w:tcPr>
            <w:tcW w:type="dxa" w:w="1829"/>
            <w:tcMar>
              <w:top w:w="60" w:type="dxa"/>
              <w:left w:w="90" w:type="dxa"/>
              <w:bottom w:w="60" w:type="dxa"/>
              <w:right w:w="90" w:type="dxa"/>
            </w:tcMar>
          </w:tcPr>
          <w:p>
            <w:pPr>
              <w:spacing w:after="0"/>
            </w:pPr>
            <w:r>
              <w:rPr>
                <w:sz w:val="17"/>
              </w:rPr>
              <w:t>VULNERABILITY-001</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HR-001</w:t>
            </w:r>
            <w:r>
              <w:rPr>
                <w:sz w:val="17"/>
              </w:rPr>
              <w:t xml:space="preserve"> Security awareness training</w:t>
            </w:r>
          </w:p>
        </w:tc>
        <w:tc>
          <w:tcPr>
            <w:tcW w:type="dxa" w:w="2050"/>
            <w:tcMar>
              <w:top w:w="60" w:type="dxa"/>
              <w:left w:w="90" w:type="dxa"/>
              <w:bottom w:w="60" w:type="dxa"/>
              <w:right w:w="90" w:type="dxa"/>
            </w:tcMar>
            <w:shd w:val="clear" w:color="auto" w:fill="F2F7F6"/>
          </w:tcPr>
          <w:p>
            <w:pPr>
              <w:spacing w:after="0"/>
            </w:pPr>
            <w:r>
              <w:rPr>
                <w:sz w:val="17"/>
              </w:rPr>
              <w:t>All staff trained yearly</w:t>
            </w:r>
          </w:p>
        </w:tc>
        <w:tc>
          <w:tcPr>
            <w:tcW w:type="dxa" w:w="2050"/>
            <w:tcMar>
              <w:top w:w="60" w:type="dxa"/>
              <w:left w:w="90" w:type="dxa"/>
              <w:bottom w:w="60" w:type="dxa"/>
              <w:right w:w="90" w:type="dxa"/>
            </w:tcMar>
            <w:shd w:val="clear" w:color="auto" w:fill="F2F7F6"/>
          </w:tcPr>
          <w:p>
            <w:pPr>
              <w:spacing w:after="0"/>
            </w:pPr>
            <w:r>
              <w:rPr>
                <w:sz w:val="17"/>
              </w:rPr>
              <w:t>Training completion export; training material; new-joiner records</w:t>
            </w:r>
          </w:p>
        </w:tc>
        <w:tc>
          <w:tcPr>
            <w:tcW w:type="dxa" w:w="2050"/>
            <w:tcMar>
              <w:top w:w="60" w:type="dxa"/>
              <w:left w:w="90" w:type="dxa"/>
              <w:bottom w:w="60" w:type="dxa"/>
              <w:right w:w="90" w:type="dxa"/>
            </w:tcMar>
            <w:shd w:val="clear" w:color="auto" w:fill="F2F7F6"/>
          </w:tcPr>
          <w:p>
            <w:pPr>
              <w:spacing w:after="0"/>
            </w:pPr>
            <w:r>
              <w:rPr>
                <w:sz w:val="17"/>
              </w:rPr>
              <w:t>Completion at or above target (use 95 %); within 12 months</w:t>
            </w:r>
          </w:p>
        </w:tc>
        <w:tc>
          <w:tcPr>
            <w:tcW w:type="dxa" w:w="1829"/>
            <w:tcMar>
              <w:top w:w="60" w:type="dxa"/>
              <w:left w:w="90" w:type="dxa"/>
              <w:bottom w:w="60" w:type="dxa"/>
              <w:right w:w="90" w:type="dxa"/>
            </w:tcMar>
            <w:shd w:val="clear" w:color="auto" w:fill="F2F7F6"/>
          </w:tcPr>
          <w:p>
            <w:pPr>
              <w:spacing w:after="0"/>
            </w:pPr>
            <w:r>
              <w:rPr>
                <w:sz w:val="17"/>
              </w:rPr>
              <w:t>SECURITY-TRAINING-001</w:t>
            </w:r>
          </w:p>
        </w:tc>
      </w:tr>
      <w:tr>
        <w:trPr>
          <w:cantSplit w:val="true"/>
        </w:trPr>
        <w:tc>
          <w:tcPr>
            <w:tcW w:type="dxa" w:w="1658"/>
            <w:tcMar>
              <w:top w:w="60" w:type="dxa"/>
              <w:left w:w="90" w:type="dxa"/>
              <w:bottom w:w="60" w:type="dxa"/>
              <w:right w:w="90" w:type="dxa"/>
            </w:tcMar>
          </w:tcPr>
          <w:p>
            <w:pPr>
              <w:spacing w:after="0"/>
            </w:pPr>
            <w:r>
              <w:rPr>
                <w:b/>
                <w:sz w:val="17"/>
              </w:rPr>
              <w:t>PHYS-001</w:t>
            </w:r>
            <w:r>
              <w:rPr>
                <w:sz w:val="17"/>
              </w:rPr>
              <w:t xml:space="preserve"> Physical entry controls</w:t>
            </w:r>
          </w:p>
        </w:tc>
        <w:tc>
          <w:tcPr>
            <w:tcW w:type="dxa" w:w="2050"/>
            <w:tcMar>
              <w:top w:w="60" w:type="dxa"/>
              <w:left w:w="90" w:type="dxa"/>
              <w:bottom w:w="60" w:type="dxa"/>
              <w:right w:w="90" w:type="dxa"/>
            </w:tcMar>
          </w:tcPr>
          <w:p>
            <w:pPr>
              <w:spacing w:after="0"/>
            </w:pPr>
            <w:r>
              <w:rPr>
                <w:sz w:val="17"/>
              </w:rPr>
              <w:t>Control who enters sites and server rooms</w:t>
            </w:r>
          </w:p>
        </w:tc>
        <w:tc>
          <w:tcPr>
            <w:tcW w:type="dxa" w:w="2050"/>
            <w:tcMar>
              <w:top w:w="60" w:type="dxa"/>
              <w:left w:w="90" w:type="dxa"/>
              <w:bottom w:w="60" w:type="dxa"/>
              <w:right w:w="90" w:type="dxa"/>
            </w:tcMar>
          </w:tcPr>
          <w:p>
            <w:pPr>
              <w:spacing w:after="0"/>
            </w:pPr>
            <w:r>
              <w:rPr>
                <w:sz w:val="17"/>
              </w:rPr>
              <w:t>Access-control policy; visitor log sample; badge list review; photos of entry controls</w:t>
            </w:r>
          </w:p>
        </w:tc>
        <w:tc>
          <w:tcPr>
            <w:tcW w:type="dxa" w:w="2050"/>
            <w:tcMar>
              <w:top w:w="60" w:type="dxa"/>
              <w:left w:w="90" w:type="dxa"/>
              <w:bottom w:w="60" w:type="dxa"/>
              <w:right w:w="90" w:type="dxa"/>
            </w:tcMar>
          </w:tcPr>
          <w:p>
            <w:pPr>
              <w:spacing w:after="0"/>
            </w:pPr>
            <w:r>
              <w:rPr>
                <w:sz w:val="17"/>
              </w:rPr>
              <w:t>Logs show enforcement; access list reviewed within 12 months</w:t>
            </w:r>
          </w:p>
        </w:tc>
        <w:tc>
          <w:tcPr>
            <w:tcW w:type="dxa" w:w="1829"/>
            <w:tcMar>
              <w:top w:w="60" w:type="dxa"/>
              <w:left w:w="90" w:type="dxa"/>
              <w:bottom w:w="60" w:type="dxa"/>
              <w:right w:w="90" w:type="dxa"/>
            </w:tcMar>
          </w:tcPr>
          <w:p>
            <w:pPr>
              <w:spacing w:after="0"/>
            </w:pPr>
            <w:r>
              <w:rPr>
                <w:sz w:val="17"/>
              </w:rPr>
              <w:t>None. Evidence only</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VEND-001</w:t>
            </w:r>
            <w:r>
              <w:rPr>
                <w:sz w:val="17"/>
              </w:rPr>
              <w:t xml:space="preserve"> Third-party risk</w:t>
            </w:r>
          </w:p>
        </w:tc>
        <w:tc>
          <w:tcPr>
            <w:tcW w:type="dxa" w:w="2050"/>
            <w:tcMar>
              <w:top w:w="60" w:type="dxa"/>
              <w:left w:w="90" w:type="dxa"/>
              <w:bottom w:w="60" w:type="dxa"/>
              <w:right w:w="90" w:type="dxa"/>
            </w:tcMar>
            <w:shd w:val="clear" w:color="auto" w:fill="F2F7F6"/>
          </w:tcPr>
          <w:p>
            <w:pPr>
              <w:spacing w:after="0"/>
            </w:pPr>
            <w:r>
              <w:rPr>
                <w:sz w:val="17"/>
              </w:rPr>
              <w:t>Assess and monitor suppliers</w:t>
            </w:r>
          </w:p>
        </w:tc>
        <w:tc>
          <w:tcPr>
            <w:tcW w:type="dxa" w:w="2050"/>
            <w:tcMar>
              <w:top w:w="60" w:type="dxa"/>
              <w:left w:w="90" w:type="dxa"/>
              <w:bottom w:w="60" w:type="dxa"/>
              <w:right w:w="90" w:type="dxa"/>
            </w:tcMar>
            <w:shd w:val="clear" w:color="auto" w:fill="F2F7F6"/>
          </w:tcPr>
          <w:p>
            <w:pPr>
              <w:spacing w:after="0"/>
            </w:pPr>
            <w:r>
              <w:rPr>
                <w:sz w:val="17"/>
              </w:rPr>
              <w:t>Supplier register with criticality; due-diligence or security questionnaires; signed contracts or data processing terms</w:t>
            </w:r>
          </w:p>
        </w:tc>
        <w:tc>
          <w:tcPr>
            <w:tcW w:type="dxa" w:w="2050"/>
            <w:tcMar>
              <w:top w:w="60" w:type="dxa"/>
              <w:left w:w="90" w:type="dxa"/>
              <w:bottom w:w="60" w:type="dxa"/>
              <w:right w:w="90" w:type="dxa"/>
            </w:tcMar>
            <w:shd w:val="clear" w:color="auto" w:fill="F2F7F6"/>
          </w:tcPr>
          <w:p>
            <w:pPr>
              <w:spacing w:after="0"/>
            </w:pPr>
            <w:r>
              <w:rPr>
                <w:sz w:val="17"/>
              </w:rPr>
              <w:t>Every critical supplier assessed in the last 12 months; contract has security and breach terms</w:t>
            </w:r>
          </w:p>
        </w:tc>
        <w:tc>
          <w:tcPr>
            <w:tcW w:type="dxa" w:w="1829"/>
            <w:tcMar>
              <w:top w:w="60" w:type="dxa"/>
              <w:left w:w="90" w:type="dxa"/>
              <w:bottom w:w="60" w:type="dxa"/>
              <w:right w:w="90" w:type="dxa"/>
            </w:tcMar>
            <w:shd w:val="clear" w:color="auto" w:fill="F2F7F6"/>
          </w:tcPr>
          <w:p>
            <w:pPr>
              <w:spacing w:after="0"/>
            </w:pPr>
            <w:r>
              <w:rPr>
                <w:sz w:val="17"/>
              </w:rPr>
              <w:t>None. Evidence only</w:t>
            </w:r>
          </w:p>
        </w:tc>
      </w:tr>
      <w:tr>
        <w:trPr>
          <w:cantSplit w:val="true"/>
        </w:trPr>
        <w:tc>
          <w:tcPr>
            <w:tcW w:type="dxa" w:w="1658"/>
            <w:tcMar>
              <w:top w:w="60" w:type="dxa"/>
              <w:left w:w="90" w:type="dxa"/>
              <w:bottom w:w="60" w:type="dxa"/>
              <w:right w:w="90" w:type="dxa"/>
            </w:tcMar>
          </w:tcPr>
          <w:p>
            <w:pPr>
              <w:spacing w:after="0"/>
            </w:pPr>
            <w:r>
              <w:rPr>
                <w:b/>
                <w:sz w:val="17"/>
              </w:rPr>
              <w:t>PRIV-001</w:t>
            </w:r>
            <w:r>
              <w:rPr>
                <w:sz w:val="17"/>
              </w:rPr>
              <w:t xml:space="preserve"> Significant Data Fiduciary programme</w:t>
            </w:r>
          </w:p>
        </w:tc>
        <w:tc>
          <w:tcPr>
            <w:tcW w:type="dxa" w:w="2050"/>
            <w:tcMar>
              <w:top w:w="60" w:type="dxa"/>
              <w:left w:w="90" w:type="dxa"/>
              <w:bottom w:w="60" w:type="dxa"/>
              <w:right w:w="90" w:type="dxa"/>
            </w:tcMar>
          </w:tcPr>
          <w:p>
            <w:pPr>
              <w:spacing w:after="0"/>
            </w:pPr>
            <w:r>
              <w:rPr>
                <w:sz w:val="17"/>
              </w:rPr>
              <w:t>Appoint officer, audits and impact assessments (only if notified as an SDF)</w:t>
            </w:r>
          </w:p>
        </w:tc>
        <w:tc>
          <w:tcPr>
            <w:tcW w:type="dxa" w:w="2050"/>
            <w:tcMar>
              <w:top w:w="60" w:type="dxa"/>
              <w:left w:w="90" w:type="dxa"/>
              <w:bottom w:w="60" w:type="dxa"/>
              <w:right w:w="90" w:type="dxa"/>
            </w:tcMar>
          </w:tcPr>
          <w:p>
            <w:pPr>
              <w:spacing w:after="0"/>
            </w:pPr>
            <w:r>
              <w:rPr>
                <w:sz w:val="17"/>
              </w:rPr>
              <w:t>Notification from the Government; DPO appointment; independent audit report; impact assessment</w:t>
            </w:r>
          </w:p>
        </w:tc>
        <w:tc>
          <w:tcPr>
            <w:tcW w:type="dxa" w:w="2050"/>
            <w:tcMar>
              <w:top w:w="60" w:type="dxa"/>
              <w:left w:w="90" w:type="dxa"/>
              <w:bottom w:w="60" w:type="dxa"/>
              <w:right w:w="90" w:type="dxa"/>
            </w:tcMar>
          </w:tcPr>
          <w:p>
            <w:pPr>
              <w:spacing w:after="0"/>
            </w:pPr>
            <w:r>
              <w:rPr>
                <w:sz w:val="17"/>
              </w:rPr>
              <w:t>Only applies if notified; audit and assessment within the last 12 months</w:t>
            </w:r>
          </w:p>
        </w:tc>
        <w:tc>
          <w:tcPr>
            <w:tcW w:type="dxa" w:w="1829"/>
            <w:tcMar>
              <w:top w:w="60" w:type="dxa"/>
              <w:left w:w="90" w:type="dxa"/>
              <w:bottom w:w="60" w:type="dxa"/>
              <w:right w:w="90" w:type="dxa"/>
            </w:tcMar>
          </w:tcPr>
          <w:p>
            <w:pPr>
              <w:spacing w:after="0"/>
            </w:pPr>
            <w:r>
              <w:rPr>
                <w:sz w:val="17"/>
              </w:rPr>
              <w:t>None. Evidence only</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PRIV-002</w:t>
            </w:r>
            <w:r>
              <w:rPr>
                <w:sz w:val="17"/>
              </w:rPr>
              <w:t xml:space="preserve"> Privacy notice</w:t>
            </w:r>
          </w:p>
        </w:tc>
        <w:tc>
          <w:tcPr>
            <w:tcW w:type="dxa" w:w="2050"/>
            <w:tcMar>
              <w:top w:w="60" w:type="dxa"/>
              <w:left w:w="90" w:type="dxa"/>
              <w:bottom w:w="60" w:type="dxa"/>
              <w:right w:w="90" w:type="dxa"/>
            </w:tcMar>
            <w:shd w:val="clear" w:color="auto" w:fill="F2F7F6"/>
          </w:tcPr>
          <w:p>
            <w:pPr>
              <w:spacing w:after="0"/>
            </w:pPr>
            <w:r>
              <w:rPr>
                <w:sz w:val="17"/>
              </w:rPr>
              <w:t>Notice given at or before collection</w:t>
            </w:r>
          </w:p>
        </w:tc>
        <w:tc>
          <w:tcPr>
            <w:tcW w:type="dxa" w:w="2050"/>
            <w:tcMar>
              <w:top w:w="60" w:type="dxa"/>
              <w:left w:w="90" w:type="dxa"/>
              <w:bottom w:w="60" w:type="dxa"/>
              <w:right w:w="90" w:type="dxa"/>
            </w:tcMar>
            <w:shd w:val="clear" w:color="auto" w:fill="F2F7F6"/>
          </w:tcPr>
          <w:p>
            <w:pPr>
              <w:spacing w:after="0"/>
            </w:pPr>
            <w:r>
              <w:rPr>
                <w:sz w:val="17"/>
              </w:rPr>
              <w:t>Notice text (each language used); screenshot of where it is shown; version history</w:t>
            </w:r>
          </w:p>
        </w:tc>
        <w:tc>
          <w:tcPr>
            <w:tcW w:type="dxa" w:w="2050"/>
            <w:tcMar>
              <w:top w:w="60" w:type="dxa"/>
              <w:left w:w="90" w:type="dxa"/>
              <w:bottom w:w="60" w:type="dxa"/>
              <w:right w:w="90" w:type="dxa"/>
            </w:tcMar>
            <w:shd w:val="clear" w:color="auto" w:fill="F2F7F6"/>
          </w:tcPr>
          <w:p>
            <w:pPr>
              <w:spacing w:after="0"/>
            </w:pPr>
            <w:r>
              <w:rPr>
                <w:sz w:val="17"/>
              </w:rPr>
              <w:t>Lists the personal data, purpose, how to withdraw consent and how to complain</w:t>
            </w:r>
          </w:p>
        </w:tc>
        <w:tc>
          <w:tcPr>
            <w:tcW w:type="dxa" w:w="1829"/>
            <w:tcMar>
              <w:top w:w="60" w:type="dxa"/>
              <w:left w:w="90" w:type="dxa"/>
              <w:bottom w:w="60" w:type="dxa"/>
              <w:right w:w="90" w:type="dxa"/>
            </w:tcMar>
            <w:shd w:val="clear" w:color="auto" w:fill="F2F7F6"/>
          </w:tcPr>
          <w:p>
            <w:pPr>
              <w:spacing w:after="0"/>
            </w:pPr>
            <w:r>
              <w:rPr>
                <w:sz w:val="17"/>
              </w:rPr>
              <w:t>None. Evidence only</w:t>
            </w:r>
          </w:p>
        </w:tc>
      </w:tr>
      <w:tr>
        <w:trPr>
          <w:cantSplit w:val="true"/>
        </w:trPr>
        <w:tc>
          <w:tcPr>
            <w:tcW w:type="dxa" w:w="1658"/>
            <w:tcMar>
              <w:top w:w="60" w:type="dxa"/>
              <w:left w:w="90" w:type="dxa"/>
              <w:bottom w:w="60" w:type="dxa"/>
              <w:right w:w="90" w:type="dxa"/>
            </w:tcMar>
          </w:tcPr>
          <w:p>
            <w:pPr>
              <w:spacing w:after="0"/>
            </w:pPr>
            <w:r>
              <w:rPr>
                <w:b/>
                <w:sz w:val="17"/>
              </w:rPr>
              <w:t>PRIV-003</w:t>
            </w:r>
            <w:r>
              <w:rPr>
                <w:sz w:val="17"/>
              </w:rPr>
              <w:t xml:space="preserve"> Consent and withdrawal</w:t>
            </w:r>
          </w:p>
        </w:tc>
        <w:tc>
          <w:tcPr>
            <w:tcW w:type="dxa" w:w="2050"/>
            <w:tcMar>
              <w:top w:w="60" w:type="dxa"/>
              <w:left w:w="90" w:type="dxa"/>
              <w:bottom w:w="60" w:type="dxa"/>
              <w:right w:w="90" w:type="dxa"/>
            </w:tcMar>
          </w:tcPr>
          <w:p>
            <w:pPr>
              <w:spacing w:after="0"/>
            </w:pPr>
            <w:r>
              <w:rPr>
                <w:sz w:val="17"/>
              </w:rPr>
              <w:t>Valid consent, easy withdrawal</w:t>
            </w:r>
          </w:p>
        </w:tc>
        <w:tc>
          <w:tcPr>
            <w:tcW w:type="dxa" w:w="2050"/>
            <w:tcMar>
              <w:top w:w="60" w:type="dxa"/>
              <w:left w:w="90" w:type="dxa"/>
              <w:bottom w:w="60" w:type="dxa"/>
              <w:right w:w="90" w:type="dxa"/>
            </w:tcMar>
          </w:tcPr>
          <w:p>
            <w:pPr>
              <w:spacing w:after="0"/>
            </w:pPr>
            <w:r>
              <w:rPr>
                <w:sz w:val="17"/>
              </w:rPr>
              <w:t>Consent record sample; consent screens; withdrawal log with time to act</w:t>
            </w:r>
          </w:p>
        </w:tc>
        <w:tc>
          <w:tcPr>
            <w:tcW w:type="dxa" w:w="2050"/>
            <w:tcMar>
              <w:top w:w="60" w:type="dxa"/>
              <w:left w:w="90" w:type="dxa"/>
              <w:bottom w:w="60" w:type="dxa"/>
              <w:right w:w="90" w:type="dxa"/>
            </w:tcMar>
          </w:tcPr>
          <w:p>
            <w:pPr>
              <w:spacing w:after="0"/>
            </w:pPr>
            <w:r>
              <w:rPr>
                <w:sz w:val="17"/>
              </w:rPr>
              <w:t>Consent is free, specific, informed, unambiguous; withdrawal as easy as giving; actioned promptly</w:t>
            </w:r>
          </w:p>
        </w:tc>
        <w:tc>
          <w:tcPr>
            <w:tcW w:type="dxa" w:w="1829"/>
            <w:tcMar>
              <w:top w:w="60" w:type="dxa"/>
              <w:left w:w="90" w:type="dxa"/>
              <w:bottom w:w="60" w:type="dxa"/>
              <w:right w:w="90" w:type="dxa"/>
            </w:tcMar>
          </w:tcPr>
          <w:p>
            <w:pPr>
              <w:spacing w:after="0"/>
            </w:pPr>
            <w:r>
              <w:rPr>
                <w:sz w:val="17"/>
              </w:rPr>
              <w:t>None. Evidence only</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PRIV-004</w:t>
            </w:r>
            <w:r>
              <w:rPr>
                <w:sz w:val="17"/>
              </w:rPr>
              <w:t xml:space="preserve"> Data principal rights</w:t>
            </w:r>
          </w:p>
        </w:tc>
        <w:tc>
          <w:tcPr>
            <w:tcW w:type="dxa" w:w="2050"/>
            <w:tcMar>
              <w:top w:w="60" w:type="dxa"/>
              <w:left w:w="90" w:type="dxa"/>
              <w:bottom w:w="60" w:type="dxa"/>
              <w:right w:w="90" w:type="dxa"/>
            </w:tcMar>
            <w:shd w:val="clear" w:color="auto" w:fill="F2F7F6"/>
          </w:tcPr>
          <w:p>
            <w:pPr>
              <w:spacing w:after="0"/>
            </w:pPr>
            <w:r>
              <w:rPr>
                <w:sz w:val="17"/>
              </w:rPr>
              <w:t>Handle access, correction, erasure requests</w:t>
            </w:r>
          </w:p>
        </w:tc>
        <w:tc>
          <w:tcPr>
            <w:tcW w:type="dxa" w:w="2050"/>
            <w:tcMar>
              <w:top w:w="60" w:type="dxa"/>
              <w:left w:w="90" w:type="dxa"/>
              <w:bottom w:w="60" w:type="dxa"/>
              <w:right w:w="90" w:type="dxa"/>
            </w:tcMar>
            <w:shd w:val="clear" w:color="auto" w:fill="F2F7F6"/>
          </w:tcPr>
          <w:p>
            <w:pPr>
              <w:spacing w:after="0"/>
            </w:pPr>
            <w:r>
              <w:rPr>
                <w:sz w:val="17"/>
              </w:rPr>
              <w:t>Request log; response samples; procedure</w:t>
            </w:r>
          </w:p>
        </w:tc>
        <w:tc>
          <w:tcPr>
            <w:tcW w:type="dxa" w:w="2050"/>
            <w:tcMar>
              <w:top w:w="60" w:type="dxa"/>
              <w:left w:w="90" w:type="dxa"/>
              <w:bottom w:w="60" w:type="dxa"/>
              <w:right w:w="90" w:type="dxa"/>
            </w:tcMar>
            <w:shd w:val="clear" w:color="auto" w:fill="F2F7F6"/>
          </w:tcPr>
          <w:p>
            <w:pPr>
              <w:spacing w:after="0"/>
            </w:pPr>
            <w:r>
              <w:rPr>
                <w:sz w:val="17"/>
              </w:rPr>
              <w:t>Each request answered inside the stated time; identity checked</w:t>
            </w:r>
          </w:p>
        </w:tc>
        <w:tc>
          <w:tcPr>
            <w:tcW w:type="dxa" w:w="1829"/>
            <w:tcMar>
              <w:top w:w="60" w:type="dxa"/>
              <w:left w:w="90" w:type="dxa"/>
              <w:bottom w:w="60" w:type="dxa"/>
              <w:right w:w="90" w:type="dxa"/>
            </w:tcMar>
            <w:shd w:val="clear" w:color="auto" w:fill="F2F7F6"/>
          </w:tcPr>
          <w:p>
            <w:pPr>
              <w:spacing w:after="0"/>
            </w:pPr>
            <w:r>
              <w:rPr>
                <w:sz w:val="17"/>
              </w:rPr>
              <w:t>None. Evidence only</w:t>
            </w:r>
          </w:p>
        </w:tc>
      </w:tr>
      <w:tr>
        <w:trPr>
          <w:cantSplit w:val="true"/>
        </w:trPr>
        <w:tc>
          <w:tcPr>
            <w:tcW w:type="dxa" w:w="1658"/>
            <w:tcMar>
              <w:top w:w="60" w:type="dxa"/>
              <w:left w:w="90" w:type="dxa"/>
              <w:bottom w:w="60" w:type="dxa"/>
              <w:right w:w="90" w:type="dxa"/>
            </w:tcMar>
          </w:tcPr>
          <w:p>
            <w:pPr>
              <w:spacing w:after="0"/>
            </w:pPr>
            <w:r>
              <w:rPr>
                <w:b/>
                <w:sz w:val="17"/>
              </w:rPr>
              <w:t>PRIV-005</w:t>
            </w:r>
            <w:r>
              <w:rPr>
                <w:sz w:val="17"/>
              </w:rPr>
              <w:t xml:space="preserve"> Retention and erasure</w:t>
            </w:r>
          </w:p>
        </w:tc>
        <w:tc>
          <w:tcPr>
            <w:tcW w:type="dxa" w:w="2050"/>
            <w:tcMar>
              <w:top w:w="60" w:type="dxa"/>
              <w:left w:w="90" w:type="dxa"/>
              <w:bottom w:w="60" w:type="dxa"/>
              <w:right w:w="90" w:type="dxa"/>
            </w:tcMar>
          </w:tcPr>
          <w:p>
            <w:pPr>
              <w:spacing w:after="0"/>
            </w:pPr>
            <w:r>
              <w:rPr>
                <w:sz w:val="17"/>
              </w:rPr>
              <w:t>Delete data when the purpose ends</w:t>
            </w:r>
          </w:p>
        </w:tc>
        <w:tc>
          <w:tcPr>
            <w:tcW w:type="dxa" w:w="2050"/>
            <w:tcMar>
              <w:top w:w="60" w:type="dxa"/>
              <w:left w:w="90" w:type="dxa"/>
              <w:bottom w:w="60" w:type="dxa"/>
              <w:right w:w="90" w:type="dxa"/>
            </w:tcMar>
          </w:tcPr>
          <w:p>
            <w:pPr>
              <w:spacing w:after="0"/>
            </w:pPr>
            <w:r>
              <w:rPr>
                <w:sz w:val="17"/>
              </w:rPr>
              <w:t>Retention schedule; deletion job logs; sample deletion proof</w:t>
            </w:r>
          </w:p>
        </w:tc>
        <w:tc>
          <w:tcPr>
            <w:tcW w:type="dxa" w:w="2050"/>
            <w:tcMar>
              <w:top w:w="60" w:type="dxa"/>
              <w:left w:w="90" w:type="dxa"/>
              <w:bottom w:w="60" w:type="dxa"/>
              <w:right w:w="90" w:type="dxa"/>
            </w:tcMar>
          </w:tcPr>
          <w:p>
            <w:pPr>
              <w:spacing w:after="0"/>
            </w:pPr>
            <w:r>
              <w:rPr>
                <w:sz w:val="17"/>
              </w:rPr>
              <w:t>Schedule covers each data set; a deletion actually ran in the last 12 months</w:t>
            </w:r>
          </w:p>
        </w:tc>
        <w:tc>
          <w:tcPr>
            <w:tcW w:type="dxa" w:w="1829"/>
            <w:tcMar>
              <w:top w:w="60" w:type="dxa"/>
              <w:left w:w="90" w:type="dxa"/>
              <w:bottom w:w="60" w:type="dxa"/>
              <w:right w:w="90" w:type="dxa"/>
            </w:tcMar>
          </w:tcPr>
          <w:p>
            <w:pPr>
              <w:spacing w:after="0"/>
            </w:pPr>
            <w:r>
              <w:rPr>
                <w:sz w:val="17"/>
              </w:rPr>
              <w:t>None. Evidence only</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PRIV-006</w:t>
            </w:r>
            <w:r>
              <w:rPr>
                <w:sz w:val="17"/>
              </w:rPr>
              <w:t xml:space="preserve"> Children's data</w:t>
            </w:r>
          </w:p>
        </w:tc>
        <w:tc>
          <w:tcPr>
            <w:tcW w:type="dxa" w:w="2050"/>
            <w:tcMar>
              <w:top w:w="60" w:type="dxa"/>
              <w:left w:w="90" w:type="dxa"/>
              <w:bottom w:w="60" w:type="dxa"/>
              <w:right w:w="90" w:type="dxa"/>
            </w:tcMar>
            <w:shd w:val="clear" w:color="auto" w:fill="F2F7F6"/>
          </w:tcPr>
          <w:p>
            <w:pPr>
              <w:spacing w:after="0"/>
            </w:pPr>
            <w:r>
              <w:rPr>
                <w:sz w:val="17"/>
              </w:rPr>
              <w:t>Verifiable parental consent; no harmful tracking</w:t>
            </w:r>
          </w:p>
        </w:tc>
        <w:tc>
          <w:tcPr>
            <w:tcW w:type="dxa" w:w="2050"/>
            <w:tcMar>
              <w:top w:w="60" w:type="dxa"/>
              <w:left w:w="90" w:type="dxa"/>
              <w:bottom w:w="60" w:type="dxa"/>
              <w:right w:w="90" w:type="dxa"/>
            </w:tcMar>
            <w:shd w:val="clear" w:color="auto" w:fill="F2F7F6"/>
          </w:tcPr>
          <w:p>
            <w:pPr>
              <w:spacing w:after="0"/>
            </w:pPr>
            <w:r>
              <w:rPr>
                <w:sz w:val="17"/>
              </w:rPr>
              <w:t>Age-gate and guardian-consent flow evidence; policy</w:t>
            </w:r>
          </w:p>
        </w:tc>
        <w:tc>
          <w:tcPr>
            <w:tcW w:type="dxa" w:w="2050"/>
            <w:tcMar>
              <w:top w:w="60" w:type="dxa"/>
              <w:left w:w="90" w:type="dxa"/>
              <w:bottom w:w="60" w:type="dxa"/>
              <w:right w:w="90" w:type="dxa"/>
            </w:tcMar>
            <w:shd w:val="clear" w:color="auto" w:fill="F2F7F6"/>
          </w:tcPr>
          <w:p>
            <w:pPr>
              <w:spacing w:after="0"/>
            </w:pPr>
            <w:r>
              <w:rPr>
                <w:sz w:val="17"/>
              </w:rPr>
              <w:t>Applies only if children's data is processed; consent verified</w:t>
            </w:r>
          </w:p>
        </w:tc>
        <w:tc>
          <w:tcPr>
            <w:tcW w:type="dxa" w:w="1829"/>
            <w:tcMar>
              <w:top w:w="60" w:type="dxa"/>
              <w:left w:w="90" w:type="dxa"/>
              <w:bottom w:w="60" w:type="dxa"/>
              <w:right w:w="90" w:type="dxa"/>
            </w:tcMar>
            <w:shd w:val="clear" w:color="auto" w:fill="F2F7F6"/>
          </w:tcPr>
          <w:p>
            <w:pPr>
              <w:spacing w:after="0"/>
            </w:pPr>
            <w:r>
              <w:rPr>
                <w:sz w:val="17"/>
              </w:rPr>
              <w:t>None. Evidence only</w:t>
            </w:r>
          </w:p>
        </w:tc>
      </w:tr>
      <w:tr>
        <w:trPr>
          <w:cantSplit w:val="true"/>
        </w:trPr>
        <w:tc>
          <w:tcPr>
            <w:tcW w:type="dxa" w:w="1658"/>
            <w:tcMar>
              <w:top w:w="60" w:type="dxa"/>
              <w:left w:w="90" w:type="dxa"/>
              <w:bottom w:w="60" w:type="dxa"/>
              <w:right w:w="90" w:type="dxa"/>
            </w:tcMar>
          </w:tcPr>
          <w:p>
            <w:pPr>
              <w:spacing w:after="0"/>
            </w:pPr>
            <w:r>
              <w:rPr>
                <w:b/>
                <w:sz w:val="17"/>
              </w:rPr>
              <w:t>PRIV-007</w:t>
            </w:r>
            <w:r>
              <w:rPr>
                <w:sz w:val="17"/>
              </w:rPr>
              <w:t xml:space="preserve"> Grievance and published contact</w:t>
            </w:r>
          </w:p>
        </w:tc>
        <w:tc>
          <w:tcPr>
            <w:tcW w:type="dxa" w:w="2050"/>
            <w:tcMar>
              <w:top w:w="60" w:type="dxa"/>
              <w:left w:w="90" w:type="dxa"/>
              <w:bottom w:w="60" w:type="dxa"/>
              <w:right w:w="90" w:type="dxa"/>
            </w:tcMar>
          </w:tcPr>
          <w:p>
            <w:pPr>
              <w:spacing w:after="0"/>
            </w:pPr>
            <w:r>
              <w:rPr>
                <w:sz w:val="17"/>
              </w:rPr>
              <w:t>Named contact and redress process</w:t>
            </w:r>
          </w:p>
        </w:tc>
        <w:tc>
          <w:tcPr>
            <w:tcW w:type="dxa" w:w="2050"/>
            <w:tcMar>
              <w:top w:w="60" w:type="dxa"/>
              <w:left w:w="90" w:type="dxa"/>
              <w:bottom w:w="60" w:type="dxa"/>
              <w:right w:w="90" w:type="dxa"/>
            </w:tcMar>
          </w:tcPr>
          <w:p>
            <w:pPr>
              <w:spacing w:after="0"/>
            </w:pPr>
            <w:r>
              <w:rPr>
                <w:sz w:val="17"/>
              </w:rPr>
              <w:t>Published contact page; grievance register; response-time record</w:t>
            </w:r>
          </w:p>
        </w:tc>
        <w:tc>
          <w:tcPr>
            <w:tcW w:type="dxa" w:w="2050"/>
            <w:tcMar>
              <w:top w:w="60" w:type="dxa"/>
              <w:left w:w="90" w:type="dxa"/>
              <w:bottom w:w="60" w:type="dxa"/>
              <w:right w:w="90" w:type="dxa"/>
            </w:tcMar>
          </w:tcPr>
          <w:p>
            <w:pPr>
              <w:spacing w:after="0"/>
            </w:pPr>
            <w:r>
              <w:rPr>
                <w:sz w:val="17"/>
              </w:rPr>
              <w:t>Contact is public and reachable; grievances resolved in the stated time</w:t>
            </w:r>
          </w:p>
        </w:tc>
        <w:tc>
          <w:tcPr>
            <w:tcW w:type="dxa" w:w="1829"/>
            <w:tcMar>
              <w:top w:w="60" w:type="dxa"/>
              <w:left w:w="90" w:type="dxa"/>
              <w:bottom w:w="60" w:type="dxa"/>
              <w:right w:w="90" w:type="dxa"/>
            </w:tcMar>
          </w:tcPr>
          <w:p>
            <w:pPr>
              <w:spacing w:after="0"/>
            </w:pPr>
            <w:r>
              <w:rPr>
                <w:sz w:val="17"/>
              </w:rPr>
              <w:t>None. Evidence only</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PRIV-008</w:t>
            </w:r>
            <w:r>
              <w:rPr>
                <w:sz w:val="17"/>
              </w:rPr>
              <w:t xml:space="preserve"> Cross-border transfer</w:t>
            </w:r>
          </w:p>
        </w:tc>
        <w:tc>
          <w:tcPr>
            <w:tcW w:type="dxa" w:w="2050"/>
            <w:tcMar>
              <w:top w:w="60" w:type="dxa"/>
              <w:left w:w="90" w:type="dxa"/>
              <w:bottom w:w="60" w:type="dxa"/>
              <w:right w:w="90" w:type="dxa"/>
            </w:tcMar>
            <w:shd w:val="clear" w:color="auto" w:fill="F2F7F6"/>
          </w:tcPr>
          <w:p>
            <w:pPr>
              <w:spacing w:after="0"/>
            </w:pPr>
            <w:r>
              <w:rPr>
                <w:sz w:val="17"/>
              </w:rPr>
              <w:t>Review transfers outside India</w:t>
            </w:r>
          </w:p>
        </w:tc>
        <w:tc>
          <w:tcPr>
            <w:tcW w:type="dxa" w:w="2050"/>
            <w:tcMar>
              <w:top w:w="60" w:type="dxa"/>
              <w:left w:w="90" w:type="dxa"/>
              <w:bottom w:w="60" w:type="dxa"/>
              <w:right w:w="90" w:type="dxa"/>
            </w:tcMar>
            <w:shd w:val="clear" w:color="auto" w:fill="F2F7F6"/>
          </w:tcPr>
          <w:p>
            <w:pPr>
              <w:spacing w:after="0"/>
            </w:pPr>
            <w:r>
              <w:rPr>
                <w:sz w:val="17"/>
              </w:rPr>
              <w:t>Transfer register (what, where, to whom); legal basis; supplier locations</w:t>
            </w:r>
          </w:p>
        </w:tc>
        <w:tc>
          <w:tcPr>
            <w:tcW w:type="dxa" w:w="2050"/>
            <w:tcMar>
              <w:top w:w="60" w:type="dxa"/>
              <w:left w:w="90" w:type="dxa"/>
              <w:bottom w:w="60" w:type="dxa"/>
              <w:right w:w="90" w:type="dxa"/>
            </w:tcMar>
            <w:shd w:val="clear" w:color="auto" w:fill="F2F7F6"/>
          </w:tcPr>
          <w:p>
            <w:pPr>
              <w:spacing w:after="0"/>
            </w:pPr>
            <w:r>
              <w:rPr>
                <w:sz w:val="17"/>
              </w:rPr>
              <w:t>Every transfer is listed and checked against government restrictions</w:t>
            </w:r>
          </w:p>
        </w:tc>
        <w:tc>
          <w:tcPr>
            <w:tcW w:type="dxa" w:w="1829"/>
            <w:tcMar>
              <w:top w:w="60" w:type="dxa"/>
              <w:left w:w="90" w:type="dxa"/>
              <w:bottom w:w="60" w:type="dxa"/>
              <w:right w:w="90" w:type="dxa"/>
            </w:tcMar>
            <w:shd w:val="clear" w:color="auto" w:fill="F2F7F6"/>
          </w:tcPr>
          <w:p>
            <w:pPr>
              <w:spacing w:after="0"/>
            </w:pPr>
            <w:r>
              <w:rPr>
                <w:sz w:val="17"/>
              </w:rPr>
              <w:t>None. Evidence only</w:t>
            </w:r>
          </w:p>
        </w:tc>
      </w:tr>
      <w:tr>
        <w:trPr>
          <w:cantSplit w:val="true"/>
        </w:trPr>
        <w:tc>
          <w:tcPr>
            <w:tcW w:type="dxa" w:w="1658"/>
            <w:tcMar>
              <w:top w:w="60" w:type="dxa"/>
              <w:left w:w="90" w:type="dxa"/>
              <w:bottom w:w="60" w:type="dxa"/>
              <w:right w:w="90" w:type="dxa"/>
            </w:tcMar>
          </w:tcPr>
          <w:p>
            <w:pPr>
              <w:spacing w:after="0"/>
            </w:pPr>
            <w:r>
              <w:rPr>
                <w:b/>
                <w:sz w:val="17"/>
              </w:rPr>
              <w:t>PRIV-009</w:t>
            </w:r>
            <w:r>
              <w:rPr>
                <w:sz w:val="17"/>
              </w:rPr>
              <w:t xml:space="preserve"> Processing inventory and lawful basis</w:t>
            </w:r>
          </w:p>
        </w:tc>
        <w:tc>
          <w:tcPr>
            <w:tcW w:type="dxa" w:w="2050"/>
            <w:tcMar>
              <w:top w:w="60" w:type="dxa"/>
              <w:left w:w="90" w:type="dxa"/>
              <w:bottom w:w="60" w:type="dxa"/>
              <w:right w:w="90" w:type="dxa"/>
            </w:tcMar>
          </w:tcPr>
          <w:p>
            <w:pPr>
              <w:spacing w:after="0"/>
            </w:pPr>
            <w:r>
              <w:rPr>
                <w:sz w:val="17"/>
              </w:rPr>
              <w:t>Know every processing activity and its lawful ground</w:t>
            </w:r>
          </w:p>
        </w:tc>
        <w:tc>
          <w:tcPr>
            <w:tcW w:type="dxa" w:w="2050"/>
            <w:tcMar>
              <w:top w:w="60" w:type="dxa"/>
              <w:left w:w="90" w:type="dxa"/>
              <w:bottom w:w="60" w:type="dxa"/>
              <w:right w:w="90" w:type="dxa"/>
            </w:tcMar>
          </w:tcPr>
          <w:p>
            <w:pPr>
              <w:spacing w:after="0"/>
            </w:pPr>
            <w:r>
              <w:rPr>
                <w:sz w:val="17"/>
              </w:rPr>
              <w:t>Record of processing; lawful ground per activity</w:t>
            </w:r>
          </w:p>
        </w:tc>
        <w:tc>
          <w:tcPr>
            <w:tcW w:type="dxa" w:w="2050"/>
            <w:tcMar>
              <w:top w:w="60" w:type="dxa"/>
              <w:left w:w="90" w:type="dxa"/>
              <w:bottom w:w="60" w:type="dxa"/>
              <w:right w:w="90" w:type="dxa"/>
            </w:tcMar>
          </w:tcPr>
          <w:p>
            <w:pPr>
              <w:spacing w:after="0"/>
            </w:pPr>
            <w:r>
              <w:rPr>
                <w:sz w:val="17"/>
              </w:rPr>
              <w:t>Every activity has a purpose and a ground; owners named</w:t>
            </w:r>
          </w:p>
        </w:tc>
        <w:tc>
          <w:tcPr>
            <w:tcW w:type="dxa" w:w="1829"/>
            <w:tcMar>
              <w:top w:w="60" w:type="dxa"/>
              <w:left w:w="90" w:type="dxa"/>
              <w:bottom w:w="60" w:type="dxa"/>
              <w:right w:w="90" w:type="dxa"/>
            </w:tcMar>
          </w:tcPr>
          <w:p>
            <w:pPr>
              <w:spacing w:after="0"/>
            </w:pPr>
            <w:r>
              <w:rPr>
                <w:sz w:val="17"/>
              </w:rPr>
              <w:t>None. Evidence only</w:t>
            </w:r>
          </w:p>
        </w:tc>
      </w:tr>
      <w:tr>
        <w:trPr>
          <w:cantSplit w:val="true"/>
        </w:trPr>
        <w:tc>
          <w:tcPr>
            <w:tcW w:type="dxa" w:w="1658"/>
            <w:tcMar>
              <w:top w:w="60" w:type="dxa"/>
              <w:left w:w="90" w:type="dxa"/>
              <w:bottom w:w="60" w:type="dxa"/>
              <w:right w:w="90" w:type="dxa"/>
            </w:tcMar>
            <w:shd w:val="clear" w:color="auto" w:fill="F2F7F6"/>
          </w:tcPr>
          <w:p>
            <w:pPr>
              <w:spacing w:after="0"/>
            </w:pPr>
            <w:r>
              <w:rPr>
                <w:b/>
                <w:sz w:val="17"/>
              </w:rPr>
              <w:t>IR-001</w:t>
            </w:r>
            <w:r>
              <w:rPr>
                <w:sz w:val="17"/>
              </w:rPr>
              <w:t xml:space="preserve"> Personal data breach response</w:t>
            </w:r>
          </w:p>
        </w:tc>
        <w:tc>
          <w:tcPr>
            <w:tcW w:type="dxa" w:w="2050"/>
            <w:tcMar>
              <w:top w:w="60" w:type="dxa"/>
              <w:left w:w="90" w:type="dxa"/>
              <w:bottom w:w="60" w:type="dxa"/>
              <w:right w:w="90" w:type="dxa"/>
            </w:tcMar>
            <w:shd w:val="clear" w:color="auto" w:fill="F2F7F6"/>
          </w:tcPr>
          <w:p>
            <w:pPr>
              <w:spacing w:after="0"/>
            </w:pPr>
            <w:r>
              <w:rPr>
                <w:sz w:val="17"/>
              </w:rPr>
              <w:t>Detect, assess, notify</w:t>
            </w:r>
          </w:p>
        </w:tc>
        <w:tc>
          <w:tcPr>
            <w:tcW w:type="dxa" w:w="2050"/>
            <w:tcMar>
              <w:top w:w="60" w:type="dxa"/>
              <w:left w:w="90" w:type="dxa"/>
              <w:bottom w:w="60" w:type="dxa"/>
              <w:right w:w="90" w:type="dxa"/>
            </w:tcMar>
            <w:shd w:val="clear" w:color="auto" w:fill="F2F7F6"/>
          </w:tcPr>
          <w:p>
            <w:pPr>
              <w:spacing w:after="0"/>
            </w:pPr>
            <w:r>
              <w:rPr>
                <w:sz w:val="17"/>
              </w:rPr>
              <w:t>Incident response plan; breach register; tabletop or test record; notification template</w:t>
            </w:r>
          </w:p>
        </w:tc>
        <w:tc>
          <w:tcPr>
            <w:tcW w:type="dxa" w:w="2050"/>
            <w:tcMar>
              <w:top w:w="60" w:type="dxa"/>
              <w:left w:w="90" w:type="dxa"/>
              <w:bottom w:w="60" w:type="dxa"/>
              <w:right w:w="90" w:type="dxa"/>
            </w:tcMar>
            <w:shd w:val="clear" w:color="auto" w:fill="F2F7F6"/>
          </w:tcPr>
          <w:p>
            <w:pPr>
              <w:spacing w:after="0"/>
            </w:pPr>
            <w:r>
              <w:rPr>
                <w:sz w:val="17"/>
              </w:rPr>
              <w:t>Plan tested within 12 months; roles named; notification path to the Board and affected people defined</w:t>
            </w:r>
          </w:p>
        </w:tc>
        <w:tc>
          <w:tcPr>
            <w:tcW w:type="dxa" w:w="1829"/>
            <w:tcMar>
              <w:top w:w="60" w:type="dxa"/>
              <w:left w:w="90" w:type="dxa"/>
              <w:bottom w:w="60" w:type="dxa"/>
              <w:right w:w="90" w:type="dxa"/>
            </w:tcMar>
            <w:shd w:val="clear" w:color="auto" w:fill="F2F7F6"/>
          </w:tcPr>
          <w:p>
            <w:pPr>
              <w:spacing w:after="0"/>
            </w:pPr>
            <w:r>
              <w:rPr>
                <w:sz w:val="17"/>
              </w:rPr>
              <w:t>None. Evidence only</w:t>
            </w:r>
          </w:p>
        </w:tc>
      </w:tr>
    </w:tbl>
    <w:p>
      <w:pPr>
        <w:spacing w:after="40"/>
      </w:pPr>
    </w:p>
    <w:p>
      <w:pPr>
        <w:pStyle w:val="Heading2"/>
      </w:pPr>
      <w:r>
        <w:t>5. Control procedures: step by step</w:t>
      </w:r>
    </w:p>
    <w:p>
      <w:r>
        <w:t>Use one procedure per control. Each one says who does it, where the proof comes from, exactly what to capture, and the thresholds the reviewer uses to mark it Met, Partly met or Not met.</w:t>
      </w:r>
    </w:p>
    <w:p>
      <w:pPr>
        <w:pStyle w:val="Heading3"/>
      </w:pPr>
      <w:r>
        <w:t>GOV-001: Policy management and review</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Security policies exist, are approved by management and are reviewed on a fixed cycle.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Security or compliance lead (policy owner)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Annual review; also after a major change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Document system or shared drive (SharePoint, Confluence), HR portal for acknowledgements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All policies approved by a named senior person and reviewed inside their cadence; acknowledgements cover at least 95 % of staff.</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Policies exist but one or more is overdue by less than 3 months, or acknowledgements are below 95 %.</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approved policy, no owner, or reviews overdue by more than 3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policies (they are few). Do not sample.</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Draft or unsigned versions; no approval date; policy copied from a template with another company's name; review older than the cadence.</w:t>
            </w:r>
          </w:p>
        </w:tc>
      </w:tr>
    </w:tbl>
    <w:p>
      <w:pPr>
        <w:spacing w:after="40"/>
      </w:pPr>
    </w:p>
    <w:p>
      <w:r>
        <w:rPr>
          <w:b/>
        </w:rPr>
        <w:t>Capture steps</w:t>
      </w:r>
    </w:p>
    <w:p>
      <w:pPr>
        <w:spacing w:after="60"/>
        <w:ind w:left="510" w:hanging="340"/>
      </w:pPr>
      <w:r>
        <w:rPr>
          <w:b/>
          <w:color w:val="0B3B3C"/>
        </w:rPr>
        <w:t xml:space="preserve">1.  </w:t>
      </w:r>
      <w:r>
        <w:t>List every policy in scope (information security, access control, acceptable use, backup, incident response, supplier, privacy).</w:t>
      </w:r>
    </w:p>
    <w:p>
      <w:pPr>
        <w:spacing w:after="60"/>
        <w:ind w:left="510" w:hanging="340"/>
      </w:pPr>
      <w:r>
        <w:rPr>
          <w:b/>
          <w:color w:val="0B3B3C"/>
        </w:rPr>
        <w:t xml:space="preserve">2.  </w:t>
      </w:r>
      <w:r>
        <w:t xml:space="preserve">Export or print the </w:t>
      </w:r>
      <w:r>
        <w:rPr>
          <w:b/>
        </w:rPr>
        <w:t>final approved version</w:t>
      </w:r>
      <w:r>
        <w:t xml:space="preserve"> of each as PDF showing version number, owner, approval date and next review date.</w:t>
      </w:r>
    </w:p>
    <w:p>
      <w:pPr>
        <w:spacing w:after="60"/>
        <w:ind w:left="510" w:hanging="340"/>
      </w:pPr>
      <w:r>
        <w:rPr>
          <w:b/>
          <w:color w:val="0B3B3C"/>
        </w:rPr>
        <w:t xml:space="preserve">3.  </w:t>
      </w:r>
      <w:r>
        <w:t>Export the review log (a sheet with policy, last review, reviewer, next review).</w:t>
      </w:r>
    </w:p>
    <w:p>
      <w:pPr>
        <w:spacing w:after="60"/>
        <w:ind w:left="510" w:hanging="340"/>
      </w:pPr>
      <w:r>
        <w:rPr>
          <w:b/>
          <w:color w:val="0B3B3C"/>
        </w:rPr>
        <w:t xml:space="preserve">4.  </w:t>
      </w:r>
      <w:r>
        <w:t>Capture proof staff have seen the policies: acknowledgement report or intranet read receipts for the last 12 months.</w:t>
      </w:r>
    </w:p>
    <w:p>
      <w:pPr>
        <w:pStyle w:val="Heading3"/>
      </w:pPr>
      <w:r>
        <w:t>IAM-001: Strong authentication</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Every user must prove who they are with more than a password.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IT or identity administrator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Report monthly; keep the latest and one a quarter back</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Microsoft Entra ID, Google Workspace, Okta, AWS IAM, VPN and SaaS admin consoles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100 % of in-scope user accounts are covered by an MFA policy; exceptions are approved, time-limited and fewer than 2 % of accounts. Automated check IAM-MFA-001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Coverage is 50 % to 99 %, or exceptions have no expiry.</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Coverage under 50 %, or no MFA policy for administrators or remote access.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Whole population report; the reviewer spot-checks 5 named users.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policy that is in report-only mode; the report covers only one group; exceptions without owner; screenshot with no tenant name or date.</w:t>
            </w:r>
          </w:p>
        </w:tc>
      </w:tr>
    </w:tbl>
    <w:p>
      <w:pPr>
        <w:spacing w:after="40"/>
      </w:pPr>
    </w:p>
    <w:p>
      <w:r>
        <w:rPr>
          <w:b/>
        </w:rPr>
        <w:t>Capture steps</w:t>
      </w:r>
    </w:p>
    <w:p>
      <w:pPr>
        <w:spacing w:after="60"/>
        <w:ind w:left="510" w:hanging="340"/>
      </w:pPr>
      <w:r>
        <w:rPr>
          <w:b/>
          <w:color w:val="0B3B3C"/>
        </w:rPr>
        <w:t xml:space="preserve">1.  </w:t>
      </w:r>
      <w:r>
        <w:t xml:space="preserve">Export the </w:t>
      </w:r>
      <w:r>
        <w:rPr>
          <w:b/>
        </w:rPr>
        <w:t>authentication methods registration report</w:t>
      </w:r>
      <w:r>
        <w:t xml:space="preserve"> (Microsoft Entra: Protection &gt; Authentication methods &gt; User registration details; Google: Security &gt; Authentication &gt; 2-step verification report).</w:t>
      </w:r>
    </w:p>
    <w:p>
      <w:pPr>
        <w:spacing w:after="60"/>
        <w:ind w:left="510" w:hanging="340"/>
      </w:pPr>
      <w:r>
        <w:rPr>
          <w:b/>
          <w:color w:val="0B3B3C"/>
        </w:rPr>
        <w:t xml:space="preserve">2.  </w:t>
      </w:r>
      <w:r>
        <w:t xml:space="preserve">Export the </w:t>
      </w:r>
      <w:r>
        <w:rPr>
          <w:b/>
        </w:rPr>
        <w:t>sign-in or conditional-access policy</w:t>
      </w:r>
      <w:r>
        <w:t xml:space="preserve"> that requires MFA (policy name, users included, apps included, grant control = require MFA).</w:t>
      </w:r>
    </w:p>
    <w:p>
      <w:pPr>
        <w:spacing w:after="60"/>
        <w:ind w:left="510" w:hanging="340"/>
      </w:pPr>
      <w:r>
        <w:rPr>
          <w:b/>
          <w:color w:val="0B3B3C"/>
        </w:rPr>
        <w:t xml:space="preserve">3.  </w:t>
      </w:r>
      <w:r>
        <w:t>List exceptions: each excluded account, the reason, the approver and the expiry date.</w:t>
      </w:r>
    </w:p>
    <w:p>
      <w:pPr>
        <w:spacing w:after="60"/>
        <w:ind w:left="510" w:hanging="340"/>
      </w:pPr>
      <w:r>
        <w:rPr>
          <w:b/>
          <w:color w:val="0B3B3C"/>
        </w:rPr>
        <w:t xml:space="preserve">4.  </w:t>
      </w:r>
      <w:r>
        <w:t>Screenshot the policy settings page showing the tenant name and the date and time.</w:t>
      </w:r>
    </w:p>
    <w:p>
      <w:pPr>
        <w:pStyle w:val="Heading3"/>
      </w:pPr>
      <w:r>
        <w:t>IAM-002: Privileged access management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Administrator rights are limited, protected and reviewed.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IT or identity administrator; reviewed by the security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Access review every quarter</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Identity provider role assignments, cloud IAM, server and database admin groups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Every admin account is a named person or an owned service account, has MFA with no exception, and a review exists within the last 90 days. Automated check IAM-ADMIN-001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A review exists but is 90 days to 12 months old, or a service account has no owner.</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Any admin account without MFA, a shared admin login, or no review in 12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privileged accounts (they are few).</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list of users with no roles shown; no review date; review signed by the person who holds the admin rights.</w:t>
            </w:r>
          </w:p>
        </w:tc>
      </w:tr>
    </w:tbl>
    <w:p>
      <w:pPr>
        <w:spacing w:after="40"/>
      </w:pPr>
    </w:p>
    <w:p>
      <w:r>
        <w:rPr>
          <w:b/>
        </w:rPr>
        <w:t>Capture steps</w:t>
      </w:r>
    </w:p>
    <w:p>
      <w:pPr>
        <w:spacing w:after="60"/>
        <w:ind w:left="510" w:hanging="340"/>
      </w:pPr>
      <w:r>
        <w:rPr>
          <w:b/>
          <w:color w:val="0B3B3C"/>
        </w:rPr>
        <w:t xml:space="preserve">1.  </w:t>
      </w:r>
      <w:r>
        <w:t>Export every account holding an administrative role (Entra: Roles and administrators; AWS: IAM users and roles with admin policies; local admin groups).</w:t>
      </w:r>
    </w:p>
    <w:p>
      <w:pPr>
        <w:spacing w:after="60"/>
        <w:ind w:left="510" w:hanging="340"/>
      </w:pPr>
      <w:r>
        <w:rPr>
          <w:b/>
          <w:color w:val="0B3B3C"/>
        </w:rPr>
        <w:t xml:space="preserve">2.  </w:t>
      </w:r>
      <w:r>
        <w:t>Mark which are named people, which are shared or service accounts, and who owns each.</w:t>
      </w:r>
    </w:p>
    <w:p>
      <w:pPr>
        <w:spacing w:after="60"/>
        <w:ind w:left="510" w:hanging="340"/>
      </w:pPr>
      <w:r>
        <w:rPr>
          <w:b/>
          <w:color w:val="0B3B3C"/>
        </w:rPr>
        <w:t xml:space="preserve">3.  </w:t>
      </w:r>
      <w:r>
        <w:t>Export MFA status for each admin account.</w:t>
      </w:r>
    </w:p>
    <w:p>
      <w:pPr>
        <w:spacing w:after="60"/>
        <w:ind w:left="510" w:hanging="340"/>
      </w:pPr>
      <w:r>
        <w:rPr>
          <w:b/>
          <w:color w:val="0B3B3C"/>
        </w:rPr>
        <w:t xml:space="preserve">4.  </w:t>
      </w:r>
      <w:r>
        <w:t>Capture the last access review: who reviewed, date, accounts removed or changed. Keep the sign-off.</w:t>
      </w:r>
    </w:p>
    <w:p>
      <w:pPr>
        <w:pStyle w:val="Heading3"/>
      </w:pPr>
      <w:r>
        <w:t>IAM-003: Account lifecycle management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People get access when they join, change it when they move and lose it when they leave.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HR and IT jointly</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Reconcile monthly; test quarterly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HR system, ticketing tool, identity provider, application user lists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In the sample, every leaver was disabled within 1 working day of the last day; no active account for a leaver; inactive accounts handled. Automated check IAM-INACTIVE-USER-001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Leavers disabled but slower than the policy, or inactive accounts handled late.</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Any leaver still active, or no process at all.</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leavers if fewer than 25, otherwise 25 chosen across the whole period (not only the latest month).</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procedure with no executed examples; only joiners shown; dates missing; a sample that only picks easy cases.</w:t>
            </w:r>
          </w:p>
        </w:tc>
      </w:tr>
    </w:tbl>
    <w:p>
      <w:pPr>
        <w:spacing w:after="40"/>
      </w:pPr>
    </w:p>
    <w:p>
      <w:r>
        <w:rPr>
          <w:b/>
        </w:rPr>
        <w:t>Capture steps</w:t>
      </w:r>
    </w:p>
    <w:p>
      <w:pPr>
        <w:spacing w:after="60"/>
        <w:ind w:left="510" w:hanging="340"/>
      </w:pPr>
      <w:r>
        <w:rPr>
          <w:b/>
          <w:color w:val="0B3B3C"/>
        </w:rPr>
        <w:t xml:space="preserve">1.  </w:t>
      </w:r>
      <w:r>
        <w:t>Export the list of leavers for the review period from HR.</w:t>
      </w:r>
    </w:p>
    <w:p>
      <w:pPr>
        <w:spacing w:after="60"/>
        <w:ind w:left="510" w:hanging="340"/>
      </w:pPr>
      <w:r>
        <w:rPr>
          <w:b/>
          <w:color w:val="0B3B3C"/>
        </w:rPr>
        <w:t xml:space="preserve">2.  </w:t>
      </w:r>
      <w:r>
        <w:t xml:space="preserve">For each leaver in the sample, show the </w:t>
      </w:r>
      <w:r>
        <w:rPr>
          <w:b/>
        </w:rPr>
        <w:t>disable or deletion</w:t>
      </w:r>
      <w:r>
        <w:t xml:space="preserve"> event in the identity provider with date and time, and the ticket that requested it.</w:t>
      </w:r>
    </w:p>
    <w:p>
      <w:pPr>
        <w:spacing w:after="60"/>
        <w:ind w:left="510" w:hanging="340"/>
      </w:pPr>
      <w:r>
        <w:rPr>
          <w:b/>
          <w:color w:val="0B3B3C"/>
        </w:rPr>
        <w:t xml:space="preserve">3.  </w:t>
      </w:r>
      <w:r>
        <w:t>Export accounts with no sign-in for 90 days or more, and show they are disabled or justified.</w:t>
      </w:r>
    </w:p>
    <w:p>
      <w:pPr>
        <w:spacing w:after="60"/>
        <w:ind w:left="510" w:hanging="340"/>
      </w:pPr>
      <w:r>
        <w:rPr>
          <w:b/>
          <w:color w:val="0B3B3C"/>
        </w:rPr>
        <w:t xml:space="preserve">4.  </w:t>
      </w:r>
      <w:r>
        <w:t>Capture the joiner and mover procedure, plus three examples of approved access requests.</w:t>
      </w:r>
    </w:p>
    <w:p>
      <w:pPr>
        <w:pStyle w:val="Heading3"/>
      </w:pPr>
      <w:r>
        <w:t>LOG-001: Audit logging and monitoring</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Security-relevant events are recorded, kept and looked at.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IT operations or security operations</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Configuration check quarterly; alert review weekly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Cloud audit logs (Microsoft 365 audit, Azure Activity Log, AWS CloudTrail), SIEM, application logs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Logging on for all in-scope systems, retention meets policy, a reviewed alert exists, logs cannot be altered by ordinary admins. Automated check LOG-AUDIT-001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Logging on but retention is short, or no evidence anyone reviews alerts.</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Logging off on a key system, or logs deleted or unprotected.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Every in-scope platform.</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Screenshot of a log viewer with no retention shown; an alert with no follow-up; a SIEM trial licence.</w:t>
            </w:r>
          </w:p>
        </w:tc>
      </w:tr>
    </w:tbl>
    <w:p>
      <w:pPr>
        <w:spacing w:after="40"/>
      </w:pPr>
    </w:p>
    <w:p>
      <w:r>
        <w:rPr>
          <w:b/>
        </w:rPr>
        <w:t>Capture steps</w:t>
      </w:r>
    </w:p>
    <w:p>
      <w:pPr>
        <w:spacing w:after="60"/>
        <w:ind w:left="510" w:hanging="340"/>
      </w:pPr>
      <w:r>
        <w:rPr>
          <w:b/>
          <w:color w:val="0B3B3C"/>
        </w:rPr>
        <w:t xml:space="preserve">1.  </w:t>
      </w:r>
      <w:r>
        <w:t>Export the logging configuration for each in-scope platform (audit logging on, destinations, retention period).</w:t>
      </w:r>
    </w:p>
    <w:p>
      <w:pPr>
        <w:spacing w:after="60"/>
        <w:ind w:left="510" w:hanging="340"/>
      </w:pPr>
      <w:r>
        <w:rPr>
          <w:b/>
          <w:color w:val="0B3B3C"/>
        </w:rPr>
        <w:t xml:space="preserve">2.  </w:t>
      </w:r>
      <w:r>
        <w:t>Show the retention setting is at least the policy (the DPDP Rules need logs kept for a minimum period; confirm the figure with your adviser).</w:t>
      </w:r>
    </w:p>
    <w:p>
      <w:pPr>
        <w:spacing w:after="60"/>
        <w:ind w:left="510" w:hanging="340"/>
      </w:pPr>
      <w:r>
        <w:rPr>
          <w:b/>
          <w:color w:val="0B3B3C"/>
        </w:rPr>
        <w:t xml:space="preserve">3.  </w:t>
      </w:r>
      <w:r>
        <w:t>Capture one real alert or log review from the last 90 days: the alert, who looked, what they decided, the ticket.</w:t>
      </w:r>
    </w:p>
    <w:p>
      <w:pPr>
        <w:spacing w:after="60"/>
        <w:ind w:left="510" w:hanging="340"/>
      </w:pPr>
      <w:r>
        <w:rPr>
          <w:b/>
          <w:color w:val="0B3B3C"/>
        </w:rPr>
        <w:t xml:space="preserve">4.  </w:t>
      </w:r>
      <w:r>
        <w:t>Show log protection: who can delete or change logs.</w:t>
      </w:r>
    </w:p>
    <w:p>
      <w:pPr>
        <w:pStyle w:val="Heading3"/>
      </w:pPr>
      <w:r>
        <w:t>BCP-001: Backup and recovery</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Important data can be restored after loss.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IT operations</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Backup report weekly; restore test at least yearly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Backup service (Azure Backup, AWS Backup, Veeam, database tools)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Daily jobs succeed (failures followed up), a restore test is under 12 months old and met its target, backups are encrypted. Automated check BACKUP-001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Backups run but no restore test in 12 months.</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backup for a critical system, or repeated failures with no action.</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Last 30 days of jobs for all critical systems, plus one restore test.</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job list with no results; a restore test that only opened the backup catalogue without restoring data.</w:t>
            </w:r>
          </w:p>
        </w:tc>
      </w:tr>
    </w:tbl>
    <w:p>
      <w:pPr>
        <w:spacing w:after="40"/>
      </w:pPr>
    </w:p>
    <w:p>
      <w:r>
        <w:rPr>
          <w:b/>
        </w:rPr>
        <w:t>Capture steps</w:t>
      </w:r>
    </w:p>
    <w:p>
      <w:pPr>
        <w:spacing w:after="60"/>
        <w:ind w:left="510" w:hanging="340"/>
      </w:pPr>
      <w:r>
        <w:rPr>
          <w:b/>
          <w:color w:val="0B3B3C"/>
        </w:rPr>
        <w:t xml:space="preserve">1.  </w:t>
      </w:r>
      <w:r>
        <w:t>Export the backup job report for the last 30 days (job, system, result, time).</w:t>
      </w:r>
    </w:p>
    <w:p>
      <w:pPr>
        <w:spacing w:after="60"/>
        <w:ind w:left="510" w:hanging="340"/>
      </w:pPr>
      <w:r>
        <w:rPr>
          <w:b/>
          <w:color w:val="0B3B3C"/>
        </w:rPr>
        <w:t xml:space="preserve">2.  </w:t>
      </w:r>
      <w:r>
        <w:t>List what is covered and what is not; justify exclusions.</w:t>
      </w:r>
    </w:p>
    <w:p>
      <w:pPr>
        <w:spacing w:after="60"/>
        <w:ind w:left="510" w:hanging="340"/>
      </w:pPr>
      <w:r>
        <w:rPr>
          <w:b/>
          <w:color w:val="0B3B3C"/>
        </w:rPr>
        <w:t xml:space="preserve">3.  </w:t>
      </w:r>
      <w:r>
        <w:t xml:space="preserve">Capture the most recent </w:t>
      </w:r>
      <w:r>
        <w:rPr>
          <w:b/>
        </w:rPr>
        <w:t>restore test</w:t>
      </w:r>
      <w:r>
        <w:t>: what was restored, who did it, the date, how long it took, and whether it met the recovery target.</w:t>
      </w:r>
    </w:p>
    <w:p>
      <w:pPr>
        <w:spacing w:after="60"/>
        <w:ind w:left="510" w:hanging="340"/>
      </w:pPr>
      <w:r>
        <w:rPr>
          <w:b/>
          <w:color w:val="0B3B3C"/>
        </w:rPr>
        <w:t xml:space="preserve">4.  </w:t>
      </w:r>
      <w:r>
        <w:t>Show where backups are stored and that they are encrypted and separate from production.</w:t>
      </w:r>
    </w:p>
    <w:p>
      <w:pPr>
        <w:pStyle w:val="Heading3"/>
      </w:pPr>
      <w:r>
        <w:t>CRYPTO-001: Encryption at rest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Stored data is encrypted and keys are managed.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Cloud or infrastructure administrator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Quarterly configuration check</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Cloud storage and database settings, disk encryption console, key vault</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Every in-scope data store shows encryption on; key ownership is named. Automated check ENCRYPTION-001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Most resources encrypted; exceptions listed but not yet approved.</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Production data stored unencrypted, or unknown status.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production data stores; a sample of 10 devices.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screenshot of one resource only; defaults shown without resource names; no date.</w:t>
            </w:r>
          </w:p>
        </w:tc>
      </w:tr>
    </w:tbl>
    <w:p>
      <w:pPr>
        <w:spacing w:after="40"/>
      </w:pPr>
    </w:p>
    <w:p>
      <w:r>
        <w:rPr>
          <w:b/>
        </w:rPr>
        <w:t>Capture steps</w:t>
      </w:r>
    </w:p>
    <w:p>
      <w:pPr>
        <w:spacing w:after="60"/>
        <w:ind w:left="510" w:hanging="340"/>
      </w:pPr>
      <w:r>
        <w:rPr>
          <w:b/>
          <w:color w:val="0B3B3C"/>
        </w:rPr>
        <w:t xml:space="preserve">1.  </w:t>
      </w:r>
      <w:r>
        <w:t>Export or screenshot the encryption setting for each storage account, database and disk in scope (resource name, encryption on, key type).</w:t>
      </w:r>
    </w:p>
    <w:p>
      <w:pPr>
        <w:spacing w:after="60"/>
        <w:ind w:left="510" w:hanging="340"/>
      </w:pPr>
      <w:r>
        <w:rPr>
          <w:b/>
          <w:color w:val="0B3B3C"/>
        </w:rPr>
        <w:t xml:space="preserve">2.  </w:t>
      </w:r>
      <w:r>
        <w:t>Show who controls the keys and how they are rotated (key vault policy).</w:t>
      </w:r>
    </w:p>
    <w:p>
      <w:pPr>
        <w:spacing w:after="60"/>
        <w:ind w:left="510" w:hanging="340"/>
      </w:pPr>
      <w:r>
        <w:rPr>
          <w:b/>
          <w:color w:val="0B3B3C"/>
        </w:rPr>
        <w:t xml:space="preserve">3.  </w:t>
      </w:r>
      <w:r>
        <w:t>List any resource that is not encrypted and the approved exception.</w:t>
      </w:r>
    </w:p>
    <w:p>
      <w:pPr>
        <w:spacing w:after="60"/>
        <w:ind w:left="510" w:hanging="340"/>
      </w:pPr>
      <w:r>
        <w:rPr>
          <w:b/>
          <w:color w:val="0B3B3C"/>
        </w:rPr>
        <w:t xml:space="preserve">4.  </w:t>
      </w:r>
      <w:r>
        <w:t>Capture the laptop disk-encryption status report for staff devices.</w:t>
      </w:r>
    </w:p>
    <w:p>
      <w:pPr>
        <w:pStyle w:val="Heading3"/>
      </w:pPr>
      <w:r>
        <w:t>NET-001: Public exposure prevention</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Data stores and admin interfaces are not open to the internet without need.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Network or cloud administrator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Quarterly review; after every network change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Cloud network security groups and firewalls, storage public-access settings, external scan</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No storage is publicly readable; any open port is justified and approved. Automated check PUBLIC-STORAGE-001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A justified exception without expiry.</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Any publicly readable data store, or database or remote-admin ports open to the world.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internet-facing resources.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rule list with the descriptions removed; an exception approved by the person who requested it.</w:t>
            </w:r>
          </w:p>
        </w:tc>
      </w:tr>
    </w:tbl>
    <w:p>
      <w:pPr>
        <w:spacing w:after="40"/>
      </w:pPr>
    </w:p>
    <w:p>
      <w:r>
        <w:rPr>
          <w:b/>
        </w:rPr>
        <w:t>Capture steps</w:t>
      </w:r>
    </w:p>
    <w:p>
      <w:pPr>
        <w:spacing w:after="60"/>
        <w:ind w:left="510" w:hanging="340"/>
      </w:pPr>
      <w:r>
        <w:rPr>
          <w:b/>
          <w:color w:val="0B3B3C"/>
        </w:rPr>
        <w:t xml:space="preserve">1.  </w:t>
      </w:r>
      <w:r>
        <w:t>Export public-access settings for every storage account or bucket (public access blocked).</w:t>
      </w:r>
    </w:p>
    <w:p>
      <w:pPr>
        <w:spacing w:after="60"/>
        <w:ind w:left="510" w:hanging="340"/>
      </w:pPr>
      <w:r>
        <w:rPr>
          <w:b/>
          <w:color w:val="0B3B3C"/>
        </w:rPr>
        <w:t xml:space="preserve">2.  </w:t>
      </w:r>
      <w:r>
        <w:t>Export firewall or security-group rules that allow access from anywhere (0.0.0.0/0) and justify each.</w:t>
      </w:r>
    </w:p>
    <w:p>
      <w:pPr>
        <w:spacing w:after="60"/>
        <w:ind w:left="510" w:hanging="340"/>
      </w:pPr>
      <w:r>
        <w:rPr>
          <w:b/>
          <w:color w:val="0B3B3C"/>
        </w:rPr>
        <w:t xml:space="preserve">3.  </w:t>
      </w:r>
      <w:r>
        <w:t>Capture an external exposure scan or a list of internet-facing hosts.</w:t>
      </w:r>
    </w:p>
    <w:p>
      <w:pPr>
        <w:spacing w:after="60"/>
        <w:ind w:left="510" w:hanging="340"/>
      </w:pPr>
      <w:r>
        <w:rPr>
          <w:b/>
          <w:color w:val="0B3B3C"/>
        </w:rPr>
        <w:t xml:space="preserve">4.  </w:t>
      </w:r>
      <w:r>
        <w:t>Show the approval and expiry for any deliberate exception.</w:t>
      </w:r>
    </w:p>
    <w:p>
      <w:pPr>
        <w:pStyle w:val="Heading3"/>
      </w:pPr>
      <w:r>
        <w:t>VULN-001: Vulnerability management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Weaknesses are found and fixed within a set time.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IT operations or security</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Scan monthly (weekly for internet-facing); review monthly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Scanner (Microsoft Defender, Nessus, Qualys, Tenable), dependency scanners, patch tool</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Scan is under 90 days old and covers every asset; no critical or high finding is open beyond SLA. Automated check VULNERABILITY-001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Scan is current but some high findings are overdue with a plan.</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scan in 90 days, or critical findings open past SLA without a decision.</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Every scan; the reviewer samples 5 closed findings and confirms the fix.</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scan of a different scope; no date; findings closed with no proof.</w:t>
            </w:r>
          </w:p>
        </w:tc>
      </w:tr>
    </w:tbl>
    <w:p>
      <w:pPr>
        <w:spacing w:after="40"/>
      </w:pPr>
    </w:p>
    <w:p>
      <w:r>
        <w:rPr>
          <w:b/>
        </w:rPr>
        <w:t>Capture steps</w:t>
      </w:r>
    </w:p>
    <w:p>
      <w:pPr>
        <w:spacing w:after="60"/>
        <w:ind w:left="510" w:hanging="340"/>
      </w:pPr>
      <w:r>
        <w:rPr>
          <w:b/>
          <w:color w:val="0B3B3C"/>
        </w:rPr>
        <w:t xml:space="preserve">1.  </w:t>
      </w:r>
      <w:r>
        <w:t>Export the latest scan report covering all in-scope assets (scope, date, findings by severity).</w:t>
      </w:r>
    </w:p>
    <w:p>
      <w:pPr>
        <w:spacing w:after="60"/>
        <w:ind w:left="510" w:hanging="340"/>
      </w:pPr>
      <w:r>
        <w:rPr>
          <w:b/>
          <w:color w:val="0B3B3C"/>
        </w:rPr>
        <w:t xml:space="preserve">2.  </w:t>
      </w:r>
      <w:r>
        <w:t>Export the fix tracker: each critical and high finding, its due date under the policy SLA, and the closure date.</w:t>
      </w:r>
    </w:p>
    <w:p>
      <w:pPr>
        <w:spacing w:after="60"/>
        <w:ind w:left="510" w:hanging="340"/>
      </w:pPr>
      <w:r>
        <w:rPr>
          <w:b/>
          <w:color w:val="0B3B3C"/>
        </w:rPr>
        <w:t xml:space="preserve">3.  </w:t>
      </w:r>
      <w:r>
        <w:t>Show the SLA policy (for example critical within 7 days, high within 30 days).</w:t>
      </w:r>
    </w:p>
    <w:p>
      <w:pPr>
        <w:spacing w:after="60"/>
        <w:ind w:left="510" w:hanging="340"/>
      </w:pPr>
      <w:r>
        <w:rPr>
          <w:b/>
          <w:color w:val="0B3B3C"/>
        </w:rPr>
        <w:t xml:space="preserve">4.  </w:t>
      </w:r>
      <w:r>
        <w:t>Capture proof that assets are patched (patch compliance report).</w:t>
      </w:r>
    </w:p>
    <w:p>
      <w:pPr>
        <w:pStyle w:val="Heading3"/>
      </w:pPr>
      <w:r>
        <w:t>HR-001: Security awareness training</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Everyone knows how to stay safe and was trained this year.</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HR with the security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Annual, plus at joining</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Learning platform or an attendance sheet</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Completion at or above 95 % within 12 months; new joiners trained in time. Automated check SECURITY-TRAINING-001 passes.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Completion 80 % to 94 %.</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Under 80 %, or no training programme.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Whole population report; 5 new joiners.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course catalogue with no completions; a report that excludes contractors in scope.</w:t>
            </w:r>
          </w:p>
        </w:tc>
      </w:tr>
    </w:tbl>
    <w:p>
      <w:pPr>
        <w:spacing w:after="40"/>
      </w:pPr>
    </w:p>
    <w:p>
      <w:r>
        <w:rPr>
          <w:b/>
        </w:rPr>
        <w:t>Capture steps</w:t>
      </w:r>
    </w:p>
    <w:p>
      <w:pPr>
        <w:spacing w:after="60"/>
        <w:ind w:left="510" w:hanging="340"/>
      </w:pPr>
      <w:r>
        <w:rPr>
          <w:b/>
          <w:color w:val="0B3B3C"/>
        </w:rPr>
        <w:t xml:space="preserve">1.  </w:t>
      </w:r>
      <w:r>
        <w:t>Export the completion report for all staff for the last 12 months (name, course, date, result).</w:t>
      </w:r>
    </w:p>
    <w:p>
      <w:pPr>
        <w:spacing w:after="60"/>
        <w:ind w:left="510" w:hanging="340"/>
      </w:pPr>
      <w:r>
        <w:rPr>
          <w:b/>
          <w:color w:val="0B3B3C"/>
        </w:rPr>
        <w:t xml:space="preserve">2.  </w:t>
      </w:r>
      <w:r>
        <w:t>Capture the training content or a slide deck showing topics (phishing, passwords, data handling, incident reporting).</w:t>
      </w:r>
    </w:p>
    <w:p>
      <w:pPr>
        <w:spacing w:after="60"/>
        <w:ind w:left="510" w:hanging="340"/>
      </w:pPr>
      <w:r>
        <w:rPr>
          <w:b/>
          <w:color w:val="0B3B3C"/>
        </w:rPr>
        <w:t xml:space="preserve">3.  </w:t>
      </w:r>
      <w:r>
        <w:t>Show new joiners were trained within 30 days of joining (sample 5).</w:t>
      </w:r>
    </w:p>
    <w:p>
      <w:pPr>
        <w:spacing w:after="60"/>
        <w:ind w:left="510" w:hanging="340"/>
      </w:pPr>
      <w:r>
        <w:rPr>
          <w:b/>
          <w:color w:val="0B3B3C"/>
        </w:rPr>
        <w:t xml:space="preserve">4.  </w:t>
      </w:r>
      <w:r>
        <w:t>Capture phishing-simulation results if used.</w:t>
      </w:r>
    </w:p>
    <w:p>
      <w:pPr>
        <w:pStyle w:val="Heading3"/>
      </w:pPr>
      <w:r>
        <w:t>PHYS-001: Physical entry controls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Only authorised people enter offices and server rooms.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Facilities or office manager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Access list review every 6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Badge system, reception visitor log, photos, cloud provider attestations (for hosted systems)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Access list reviewed within 12 months, visitor logs show the process is used.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Process exists but logs are incomplete.</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control on entry to sensitive areas.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3 months of visitor logs; the full access list.</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Photos with no date; policy only; a visitor log with blank exit times throughout.</w:t>
            </w:r>
          </w:p>
        </w:tc>
      </w:tr>
    </w:tbl>
    <w:p>
      <w:pPr>
        <w:spacing w:after="40"/>
      </w:pPr>
    </w:p>
    <w:p>
      <w:r>
        <w:rPr>
          <w:b/>
        </w:rPr>
        <w:t>Capture steps</w:t>
      </w:r>
    </w:p>
    <w:p>
      <w:pPr>
        <w:spacing w:after="60"/>
        <w:ind w:left="510" w:hanging="340"/>
      </w:pPr>
      <w:r>
        <w:rPr>
          <w:b/>
          <w:color w:val="0B3B3C"/>
        </w:rPr>
        <w:t xml:space="preserve">1.  </w:t>
      </w:r>
      <w:r>
        <w:t>Capture the physical access policy.</w:t>
      </w:r>
    </w:p>
    <w:p>
      <w:pPr>
        <w:spacing w:after="60"/>
        <w:ind w:left="510" w:hanging="340"/>
      </w:pPr>
      <w:r>
        <w:rPr>
          <w:b/>
          <w:color w:val="0B3B3C"/>
        </w:rPr>
        <w:t xml:space="preserve">2.  </w:t>
      </w:r>
      <w:r>
        <w:t>Export the list of people with access to sensitive areas and the last review with sign-off.</w:t>
      </w:r>
    </w:p>
    <w:p>
      <w:pPr>
        <w:spacing w:after="60"/>
        <w:ind w:left="510" w:hanging="340"/>
      </w:pPr>
      <w:r>
        <w:rPr>
          <w:b/>
          <w:color w:val="0B3B3C"/>
        </w:rPr>
        <w:t xml:space="preserve">3.  </w:t>
      </w:r>
      <w:r>
        <w:t>Capture a visitor log sample (last 3 months) showing sign-in, escort and sign-out.</w:t>
      </w:r>
    </w:p>
    <w:p>
      <w:pPr>
        <w:spacing w:after="60"/>
        <w:ind w:left="510" w:hanging="340"/>
      </w:pPr>
      <w:r>
        <w:rPr>
          <w:b/>
          <w:color w:val="0B3B3C"/>
        </w:rPr>
        <w:t xml:space="preserve">4.  </w:t>
      </w:r>
      <w:r>
        <w:t>Take dated photos or screenshots of entry controls (door reader, locked rack, camera notice).</w:t>
      </w:r>
    </w:p>
    <w:p>
      <w:pPr>
        <w:spacing w:after="60"/>
        <w:ind w:left="510" w:hanging="340"/>
      </w:pPr>
      <w:r>
        <w:rPr>
          <w:b/>
          <w:color w:val="0B3B3C"/>
        </w:rPr>
        <w:t xml:space="preserve">5.  </w:t>
      </w:r>
      <w:r>
        <w:t>For cloud-only companies, record that the data centres are run by the provider and keep the provider's attestation report.</w:t>
      </w:r>
    </w:p>
    <w:p>
      <w:pPr>
        <w:pStyle w:val="Heading3"/>
      </w:pPr>
      <w:r>
        <w:t>VEND-001: Third-party risk management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Suppliers that touch your data are assessed and held to contract terms.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Procurement with the security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Assess at onboarding and every 12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Supplier register, questionnaires, contracts, supplier audit reports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Every critical supplier assessed within 12 months; contract has security and breach terms.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Assessments exist but some are older than 12 months.</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Critical supplier with no assessment or no data terms.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critical suppliers; sample 5 of the others.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register with no ratings; a certificate that has expired; a certificate for a different product.</w:t>
            </w:r>
          </w:p>
        </w:tc>
      </w:tr>
    </w:tbl>
    <w:p>
      <w:pPr>
        <w:spacing w:after="40"/>
      </w:pPr>
    </w:p>
    <w:p>
      <w:r>
        <w:rPr>
          <w:b/>
        </w:rPr>
        <w:t>Capture steps</w:t>
      </w:r>
    </w:p>
    <w:p>
      <w:pPr>
        <w:spacing w:after="60"/>
        <w:ind w:left="510" w:hanging="340"/>
      </w:pPr>
      <w:r>
        <w:rPr>
          <w:b/>
          <w:color w:val="0B3B3C"/>
        </w:rPr>
        <w:t xml:space="preserve">1.  </w:t>
      </w:r>
      <w:r>
        <w:t>Export the supplier register with a criticality rating and data shared.</w:t>
      </w:r>
    </w:p>
    <w:p>
      <w:pPr>
        <w:spacing w:after="60"/>
        <w:ind w:left="510" w:hanging="340"/>
      </w:pPr>
      <w:r>
        <w:rPr>
          <w:b/>
          <w:color w:val="0B3B3C"/>
        </w:rPr>
        <w:t xml:space="preserve">2.  </w:t>
      </w:r>
      <w:r>
        <w:t>For each critical supplier, capture the due-diligence record (questionnaire, certificate such as ISO 27001 or SOC 2 report, date).</w:t>
      </w:r>
    </w:p>
    <w:p>
      <w:pPr>
        <w:spacing w:after="60"/>
        <w:ind w:left="510" w:hanging="340"/>
      </w:pPr>
      <w:r>
        <w:rPr>
          <w:b/>
          <w:color w:val="0B3B3C"/>
        </w:rPr>
        <w:t xml:space="preserve">3.  </w:t>
      </w:r>
      <w:r>
        <w:t>Capture the contract or data processing terms showing security, breach notice and deletion clauses.</w:t>
      </w:r>
    </w:p>
    <w:p>
      <w:pPr>
        <w:spacing w:after="60"/>
        <w:ind w:left="510" w:hanging="340"/>
      </w:pPr>
      <w:r>
        <w:rPr>
          <w:b/>
          <w:color w:val="0B3B3C"/>
        </w:rPr>
        <w:t xml:space="preserve">4.  </w:t>
      </w:r>
      <w:r>
        <w:t>Show the last annual review for each critical supplier.</w:t>
      </w:r>
    </w:p>
    <w:p>
      <w:pPr>
        <w:pStyle w:val="Heading3"/>
      </w:pPr>
      <w:r>
        <w:t>PRIV-001: Significant Data Fiduciary programme</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Extra duties apply only if the Government has notified you as a Significant Data Fiduciary.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Data protection officer or senior management</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Annual audit and assessment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Government notification, DPO appointment letter, audit and impact assessment reports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Not applicable with approval, or all required documents are present and current.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Documents exist but are older than 12 months.</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Notified but no DPO, audit or assessment.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documents.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Marking not applicable without checking the notification list.</w:t>
            </w:r>
          </w:p>
        </w:tc>
      </w:tr>
    </w:tbl>
    <w:p>
      <w:pPr>
        <w:spacing w:after="40"/>
      </w:pPr>
    </w:p>
    <w:p>
      <w:r>
        <w:rPr>
          <w:b/>
        </w:rPr>
        <w:t>Capture steps</w:t>
      </w:r>
    </w:p>
    <w:p>
      <w:pPr>
        <w:spacing w:after="60"/>
        <w:ind w:left="510" w:hanging="340"/>
      </w:pPr>
      <w:r>
        <w:rPr>
          <w:b/>
          <w:color w:val="0B3B3C"/>
        </w:rPr>
        <w:t xml:space="preserve">1.  </w:t>
      </w:r>
      <w:r>
        <w:t>First decide whether you were notified. If not, record this as not applicable with the reason and a reviewer's approval.</w:t>
      </w:r>
    </w:p>
    <w:p>
      <w:pPr>
        <w:spacing w:after="60"/>
        <w:ind w:left="510" w:hanging="340"/>
      </w:pPr>
      <w:r>
        <w:rPr>
          <w:b/>
          <w:color w:val="0B3B3C"/>
        </w:rPr>
        <w:t xml:space="preserve">2.  </w:t>
      </w:r>
      <w:r>
        <w:t>If notified: capture the notification, the DPO appointment (based in India, reporting to the Board), the independent data audit report and the impact assessment, each dated within 12 months.</w:t>
      </w:r>
    </w:p>
    <w:p>
      <w:pPr>
        <w:pStyle w:val="Heading3"/>
      </w:pPr>
      <w:r>
        <w:t>PRIV-002: Privacy notice management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People are told what is collected, why, and how to complain, at or before collection.</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Review yearly and at every change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Website and app notice pages, forms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Notice shown at every collection point and contains the required content.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Notice exists but is missing one element or one collection point.</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notice, or notice shown only after collection.</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Every collection point (forms, sign-up, app, support).</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link to a generic policy; screenshot of the notice page but not the collection form.</w:t>
            </w:r>
          </w:p>
        </w:tc>
      </w:tr>
    </w:tbl>
    <w:p>
      <w:pPr>
        <w:spacing w:after="40"/>
      </w:pPr>
    </w:p>
    <w:p>
      <w:r>
        <w:rPr>
          <w:b/>
        </w:rPr>
        <w:t>Capture steps</w:t>
      </w:r>
    </w:p>
    <w:p>
      <w:pPr>
        <w:spacing w:after="60"/>
        <w:ind w:left="510" w:hanging="340"/>
      </w:pPr>
      <w:r>
        <w:rPr>
          <w:b/>
          <w:color w:val="0B3B3C"/>
        </w:rPr>
        <w:t xml:space="preserve">1.  </w:t>
      </w:r>
      <w:r>
        <w:t>Capture the current notice text and its version history.</w:t>
      </w:r>
    </w:p>
    <w:p>
      <w:pPr>
        <w:spacing w:after="60"/>
        <w:ind w:left="510" w:hanging="340"/>
      </w:pPr>
      <w:r>
        <w:rPr>
          <w:b/>
          <w:color w:val="0B3B3C"/>
        </w:rPr>
        <w:t xml:space="preserve">2.  </w:t>
      </w:r>
      <w:r>
        <w:t>Screenshot each place where data is collected showing the notice link or text, with the date.</w:t>
      </w:r>
    </w:p>
    <w:p>
      <w:pPr>
        <w:spacing w:after="60"/>
        <w:ind w:left="510" w:hanging="340"/>
      </w:pPr>
      <w:r>
        <w:rPr>
          <w:b/>
          <w:color w:val="0B3B3C"/>
        </w:rPr>
        <w:t xml:space="preserve">3.  </w:t>
      </w:r>
      <w:r>
        <w:t>Show the notice is available in the languages you serve.</w:t>
      </w:r>
    </w:p>
    <w:p>
      <w:pPr>
        <w:spacing w:after="60"/>
        <w:ind w:left="510" w:hanging="340"/>
      </w:pPr>
      <w:r>
        <w:rPr>
          <w:b/>
          <w:color w:val="0B3B3C"/>
        </w:rPr>
        <w:t xml:space="preserve">4.  </w:t>
      </w:r>
      <w:r>
        <w:t>Check it states the personal data, the purpose, how to withdraw consent, how to exercise rights and how to complain to the Board.</w:t>
      </w:r>
    </w:p>
    <w:p>
      <w:pPr>
        <w:pStyle w:val="Heading3"/>
      </w:pPr>
      <w:r>
        <w:t>PRIV-003: Consent lifecycle and withdrawal</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Consent is free, specific, informed and as easy to withdraw as to give.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 with product owner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Review quarterly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Consent records or consent manager, forms, withdrawal route</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All sampled records are complete and withdrawals are acted on within the stated time.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Records exist but some lack the notice version or date.</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record of consent, or withdrawal is harder than giving consent.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25 consents and 10 withdrawals.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Records without timestamps; a consent bundled with unrelated terms.</w:t>
            </w:r>
          </w:p>
        </w:tc>
      </w:tr>
    </w:tbl>
    <w:p>
      <w:pPr>
        <w:spacing w:after="40"/>
      </w:pPr>
    </w:p>
    <w:p>
      <w:r>
        <w:rPr>
          <w:b/>
        </w:rPr>
        <w:t>Capture steps</w:t>
      </w:r>
    </w:p>
    <w:p>
      <w:pPr>
        <w:spacing w:after="60"/>
        <w:ind w:left="510" w:hanging="340"/>
      </w:pPr>
      <w:r>
        <w:rPr>
          <w:b/>
          <w:color w:val="0B3B3C"/>
        </w:rPr>
        <w:t xml:space="preserve">1.  </w:t>
      </w:r>
      <w:r>
        <w:t>Capture the consent screen wording and show no pre-ticked boxes.</w:t>
      </w:r>
    </w:p>
    <w:p>
      <w:pPr>
        <w:spacing w:after="60"/>
        <w:ind w:left="510" w:hanging="340"/>
      </w:pPr>
      <w:r>
        <w:rPr>
          <w:b/>
          <w:color w:val="0B3B3C"/>
        </w:rPr>
        <w:t xml:space="preserve">2.  </w:t>
      </w:r>
      <w:r>
        <w:t>Export a sample of 25 consent records (who, what for, when, which version of the notice).</w:t>
      </w:r>
    </w:p>
    <w:p>
      <w:pPr>
        <w:spacing w:after="60"/>
        <w:ind w:left="510" w:hanging="340"/>
      </w:pPr>
      <w:r>
        <w:rPr>
          <w:b/>
          <w:color w:val="0B3B3C"/>
        </w:rPr>
        <w:t xml:space="preserve">3.  </w:t>
      </w:r>
      <w:r>
        <w:t>Capture the withdrawal route and a sample of 10 withdrawals showing the date asked and the date acted on.</w:t>
      </w:r>
    </w:p>
    <w:p>
      <w:pPr>
        <w:spacing w:after="60"/>
        <w:ind w:left="510" w:hanging="340"/>
      </w:pPr>
      <w:r>
        <w:rPr>
          <w:b/>
          <w:color w:val="0B3B3C"/>
        </w:rPr>
        <w:t xml:space="preserve">4.  </w:t>
      </w:r>
      <w:r>
        <w:t>Check that processing stopped after withdrawal.</w:t>
      </w:r>
    </w:p>
    <w:p>
      <w:pPr>
        <w:pStyle w:val="Heading3"/>
      </w:pPr>
      <w:r>
        <w:t>PRIV-004: Data Principal rights handling</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People can see, correct and ask to erase their data and you answer in time.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Test every 6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Request log, mailbox or ticketing tool, response letters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All sampled requests answered within the stated time after identity was checked.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Answered but late for some.</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log, or requests ignored.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5 requests of each type, or all if fewer.</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log with no dates; responses that disclose another person's data.</w:t>
            </w:r>
          </w:p>
        </w:tc>
      </w:tr>
    </w:tbl>
    <w:p>
      <w:pPr>
        <w:spacing w:after="40"/>
      </w:pPr>
    </w:p>
    <w:p>
      <w:r>
        <w:rPr>
          <w:b/>
        </w:rPr>
        <w:t>Capture steps</w:t>
      </w:r>
    </w:p>
    <w:p>
      <w:pPr>
        <w:spacing w:after="60"/>
        <w:ind w:left="510" w:hanging="340"/>
      </w:pPr>
      <w:r>
        <w:rPr>
          <w:b/>
          <w:color w:val="0B3B3C"/>
        </w:rPr>
        <w:t xml:space="preserve">1.  </w:t>
      </w:r>
      <w:r>
        <w:t>Capture the procedure including how identity is checked.</w:t>
      </w:r>
    </w:p>
    <w:p>
      <w:pPr>
        <w:spacing w:after="60"/>
        <w:ind w:left="510" w:hanging="340"/>
      </w:pPr>
      <w:r>
        <w:rPr>
          <w:b/>
          <w:color w:val="0B3B3C"/>
        </w:rPr>
        <w:t xml:space="preserve">2.  </w:t>
      </w:r>
      <w:r>
        <w:t>Export the request log for the last 12 months (type, received, answered, outcome).</w:t>
      </w:r>
    </w:p>
    <w:p>
      <w:pPr>
        <w:spacing w:after="60"/>
        <w:ind w:left="510" w:hanging="340"/>
      </w:pPr>
      <w:r>
        <w:rPr>
          <w:b/>
          <w:color w:val="0B3B3C"/>
        </w:rPr>
        <w:t xml:space="preserve">3.  </w:t>
      </w:r>
      <w:r>
        <w:t>Capture 5 sample responses (remove personal data not needed).</w:t>
      </w:r>
    </w:p>
    <w:p>
      <w:pPr>
        <w:spacing w:after="60"/>
        <w:ind w:left="510" w:hanging="340"/>
      </w:pPr>
      <w:r>
        <w:rPr>
          <w:b/>
          <w:color w:val="0B3B3C"/>
        </w:rPr>
        <w:t xml:space="preserve">4.  </w:t>
      </w:r>
      <w:r>
        <w:t>Record the time to respond against your stated target.</w:t>
      </w:r>
    </w:p>
    <w:p>
      <w:pPr>
        <w:pStyle w:val="Heading3"/>
      </w:pPr>
      <w:r>
        <w:t>PRIV-005: Retention and erasure</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Personal data is deleted when its purpose ends.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 with IT</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Run deletion jobs on schedule; review yearly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Retention schedule, deletion job logs, database queries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Schedule covers every data set and a deletion has actually run in the last 12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Schedule exists but deletion has not been run or proven.</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schedule, or data kept without a purpose.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Every data set; one deletion in detail.</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schedule never applied; screenshots of a database with the data still present.</w:t>
            </w:r>
          </w:p>
        </w:tc>
      </w:tr>
    </w:tbl>
    <w:p>
      <w:pPr>
        <w:spacing w:after="40"/>
      </w:pPr>
    </w:p>
    <w:p>
      <w:r>
        <w:rPr>
          <w:b/>
        </w:rPr>
        <w:t>Capture steps</w:t>
      </w:r>
    </w:p>
    <w:p>
      <w:pPr>
        <w:spacing w:after="60"/>
        <w:ind w:left="510" w:hanging="340"/>
      </w:pPr>
      <w:r>
        <w:rPr>
          <w:b/>
          <w:color w:val="0B3B3C"/>
        </w:rPr>
        <w:t xml:space="preserve">1.  </w:t>
      </w:r>
      <w:r>
        <w:t>Capture the retention schedule listing each data set, purpose and period.</w:t>
      </w:r>
    </w:p>
    <w:p>
      <w:pPr>
        <w:spacing w:after="60"/>
        <w:ind w:left="510" w:hanging="340"/>
      </w:pPr>
      <w:r>
        <w:rPr>
          <w:b/>
          <w:color w:val="0B3B3C"/>
        </w:rPr>
        <w:t xml:space="preserve">2.  </w:t>
      </w:r>
      <w:r>
        <w:t>Capture a deletion job log or script output showing records removed for the last cycle.</w:t>
      </w:r>
    </w:p>
    <w:p>
      <w:pPr>
        <w:spacing w:after="60"/>
        <w:ind w:left="510" w:hanging="340"/>
      </w:pPr>
      <w:r>
        <w:rPr>
          <w:b/>
          <w:color w:val="0B3B3C"/>
        </w:rPr>
        <w:t xml:space="preserve">3.  </w:t>
      </w:r>
      <w:r>
        <w:t>Show deletion also happens at suppliers (contract clause or confirmation).</w:t>
      </w:r>
    </w:p>
    <w:p>
      <w:pPr>
        <w:spacing w:after="60"/>
        <w:ind w:left="510" w:hanging="340"/>
      </w:pPr>
      <w:r>
        <w:rPr>
          <w:b/>
          <w:color w:val="0B3B3C"/>
        </w:rPr>
        <w:t xml:space="preserve">4.  </w:t>
      </w:r>
      <w:r>
        <w:t>Capture one example of a deletion request completed end to end.</w:t>
      </w:r>
    </w:p>
    <w:p>
      <w:pPr>
        <w:pStyle w:val="Heading3"/>
      </w:pPr>
      <w:r>
        <w:t>PRIV-006: Children's and guardian-represented data</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Verifiable parental or guardian consent where children's data is processed.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Review when the service changes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Sign-up flow, age check, guardian consent record</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Not applicable with approval, or consent is verified and no harmful processing occurs.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Flow exists but verification is weak.</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Children's data processed with no guardian consent.</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10 records.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Marking not applicable while the sign-up has no age gate and users include students.</w:t>
            </w:r>
          </w:p>
        </w:tc>
      </w:tr>
    </w:tbl>
    <w:p>
      <w:pPr>
        <w:spacing w:after="40"/>
      </w:pPr>
    </w:p>
    <w:p>
      <w:r>
        <w:rPr>
          <w:b/>
        </w:rPr>
        <w:t>Capture steps</w:t>
      </w:r>
    </w:p>
    <w:p>
      <w:pPr>
        <w:spacing w:after="60"/>
        <w:ind w:left="510" w:hanging="340"/>
      </w:pPr>
      <w:r>
        <w:rPr>
          <w:b/>
          <w:color w:val="0B3B3C"/>
        </w:rPr>
        <w:t xml:space="preserve">1.  </w:t>
      </w:r>
      <w:r>
        <w:t>Decide whether you process data of anyone under 18 (or of a person with a guardian). If not, record not applicable with the reason and a reviewer's approval.</w:t>
      </w:r>
    </w:p>
    <w:p>
      <w:pPr>
        <w:spacing w:after="60"/>
        <w:ind w:left="510" w:hanging="340"/>
      </w:pPr>
      <w:r>
        <w:rPr>
          <w:b/>
          <w:color w:val="0B3B3C"/>
        </w:rPr>
        <w:t xml:space="preserve">2.  </w:t>
      </w:r>
      <w:r>
        <w:t>If yes: capture the age-check step, the guardian-consent flow and a sample of 10 consent records, and show no tracking or targeted advertising for children.</w:t>
      </w:r>
    </w:p>
    <w:p>
      <w:pPr>
        <w:pStyle w:val="Heading3"/>
      </w:pPr>
      <w:r>
        <w:t>PRIV-007: Grievance redressal and published contact</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A named contact and a way to complain are public.</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Grievance officer</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Check the page quarterly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Website contact page, grievance register</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Contact published and working; grievances resolved within the stated time.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Contact published but the register is incomplete.</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published contact, or no process.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3 grievances, or all if fewer.</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mailbox that bounces; a form that sends nowhere.</w:t>
            </w:r>
          </w:p>
        </w:tc>
      </w:tr>
    </w:tbl>
    <w:p>
      <w:pPr>
        <w:spacing w:after="40"/>
      </w:pPr>
    </w:p>
    <w:p>
      <w:r>
        <w:rPr>
          <w:b/>
        </w:rPr>
        <w:t>Capture steps</w:t>
      </w:r>
    </w:p>
    <w:p>
      <w:pPr>
        <w:spacing w:after="60"/>
        <w:ind w:left="510" w:hanging="340"/>
      </w:pPr>
      <w:r>
        <w:rPr>
          <w:b/>
          <w:color w:val="0B3B3C"/>
        </w:rPr>
        <w:t xml:space="preserve">1.  </w:t>
      </w:r>
      <w:r>
        <w:t>Screenshot the published contact page with the name, address and route to raise a grievance and the date.</w:t>
      </w:r>
    </w:p>
    <w:p>
      <w:pPr>
        <w:spacing w:after="60"/>
        <w:ind w:left="510" w:hanging="340"/>
      </w:pPr>
      <w:r>
        <w:rPr>
          <w:b/>
          <w:color w:val="0B3B3C"/>
        </w:rPr>
        <w:t xml:space="preserve">2.  </w:t>
      </w:r>
      <w:r>
        <w:t>Export the grievance register for 12 months (received, resolved, time).</w:t>
      </w:r>
    </w:p>
    <w:p>
      <w:pPr>
        <w:spacing w:after="60"/>
        <w:ind w:left="510" w:hanging="340"/>
      </w:pPr>
      <w:r>
        <w:rPr>
          <w:b/>
          <w:color w:val="0B3B3C"/>
        </w:rPr>
        <w:t xml:space="preserve">3.  </w:t>
      </w:r>
      <w:r>
        <w:t>Capture 3 examples with the response.</w:t>
      </w:r>
    </w:p>
    <w:p>
      <w:pPr>
        <w:pStyle w:val="Heading3"/>
      </w:pPr>
      <w:r>
        <w:t>PRIV-008: Cross-border transfer review</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You know where personal data goes outside India and it is allowed.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 with procurement</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Review yearly and at each new supplier</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Supplier list, hosting regions, data flow diagram</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Every transfer is registered, justified and checked.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Register exists but misses some suppliers.</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Unknown transfers.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Every supplier that receives personal data.</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register that omits SaaS tools such as email, CRM and analytics.</w:t>
            </w:r>
          </w:p>
        </w:tc>
      </w:tr>
    </w:tbl>
    <w:p>
      <w:pPr>
        <w:spacing w:after="40"/>
      </w:pPr>
    </w:p>
    <w:p>
      <w:r>
        <w:rPr>
          <w:b/>
        </w:rPr>
        <w:t>Capture steps</w:t>
      </w:r>
    </w:p>
    <w:p>
      <w:pPr>
        <w:spacing w:after="60"/>
        <w:ind w:left="510" w:hanging="340"/>
      </w:pPr>
      <w:r>
        <w:rPr>
          <w:b/>
          <w:color w:val="0B3B3C"/>
        </w:rPr>
        <w:t xml:space="preserve">1.  </w:t>
      </w:r>
      <w:r>
        <w:t>Capture a transfer register: what data, to which country and supplier, for what purpose.</w:t>
      </w:r>
    </w:p>
    <w:p>
      <w:pPr>
        <w:spacing w:after="60"/>
        <w:ind w:left="510" w:hanging="340"/>
      </w:pPr>
      <w:r>
        <w:rPr>
          <w:b/>
          <w:color w:val="0B3B3C"/>
        </w:rPr>
        <w:t xml:space="preserve">2.  </w:t>
      </w:r>
      <w:r>
        <w:t>Capture hosting region settings for each cloud service.</w:t>
      </w:r>
    </w:p>
    <w:p>
      <w:pPr>
        <w:spacing w:after="60"/>
        <w:ind w:left="510" w:hanging="340"/>
      </w:pPr>
      <w:r>
        <w:rPr>
          <w:b/>
          <w:color w:val="0B3B3C"/>
        </w:rPr>
        <w:t xml:space="preserve">3.  </w:t>
      </w:r>
      <w:r>
        <w:t>Record the check against the Government's list of restricted countries (if any) and the contract terms.</w:t>
      </w:r>
    </w:p>
    <w:p>
      <w:pPr>
        <w:spacing w:after="60"/>
        <w:ind w:left="510" w:hanging="340"/>
      </w:pPr>
      <w:r>
        <w:rPr>
          <w:b/>
          <w:color w:val="0B3B3C"/>
        </w:rPr>
        <w:t xml:space="preserve">4.  </w:t>
      </w:r>
      <w:r>
        <w:t>Capture the data flow diagram.</w:t>
      </w:r>
    </w:p>
    <w:p>
      <w:pPr>
        <w:pStyle w:val="Heading3"/>
      </w:pPr>
      <w:r>
        <w:t>PRIV-009: Processing inventory and lawful basis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You know every use of personal data and the legal ground for each.</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Privacy lead with department heads</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Review twice a year</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Record of processing, interviews with each department</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Every activity has a purpose, a ground, an owner and a retention period.</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Inventory exists but is missing departments.</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inventory.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All activities.</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An inventory built from a template with no real activities.</w:t>
            </w:r>
          </w:p>
        </w:tc>
      </w:tr>
    </w:tbl>
    <w:p>
      <w:pPr>
        <w:spacing w:after="40"/>
      </w:pPr>
    </w:p>
    <w:p>
      <w:r>
        <w:rPr>
          <w:b/>
        </w:rPr>
        <w:t>Capture steps</w:t>
      </w:r>
    </w:p>
    <w:p>
      <w:pPr>
        <w:spacing w:after="60"/>
        <w:ind w:left="510" w:hanging="340"/>
      </w:pPr>
      <w:r>
        <w:rPr>
          <w:b/>
          <w:color w:val="0B3B3C"/>
        </w:rPr>
        <w:t xml:space="preserve">1.  </w:t>
      </w:r>
      <w:r>
        <w:t>List every processing activity (for example payroll, marketing, support, hiring).</w:t>
      </w:r>
    </w:p>
    <w:p>
      <w:pPr>
        <w:spacing w:after="60"/>
        <w:ind w:left="510" w:hanging="340"/>
      </w:pPr>
      <w:r>
        <w:rPr>
          <w:b/>
          <w:color w:val="0B3B3C"/>
        </w:rPr>
        <w:t xml:space="preserve">2.  </w:t>
      </w:r>
      <w:r>
        <w:t>For each, record the data, the purpose, the lawful ground (consent or a legitimate use), the owner, the systems and the retention.</w:t>
      </w:r>
    </w:p>
    <w:p>
      <w:pPr>
        <w:spacing w:after="60"/>
        <w:ind w:left="510" w:hanging="340"/>
      </w:pPr>
      <w:r>
        <w:rPr>
          <w:b/>
          <w:color w:val="0B3B3C"/>
        </w:rPr>
        <w:t xml:space="preserve">3.  </w:t>
      </w:r>
      <w:r>
        <w:t>Capture the approval by the privacy lead and the date.</w:t>
      </w:r>
    </w:p>
    <w:p>
      <w:pPr>
        <w:pStyle w:val="Heading3"/>
      </w:pPr>
      <w:r>
        <w:t>IR-001: Personal data breach response</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3394"/>
            <w:shd w:val="clear" w:color="auto" w:fill="0B3B3C"/>
            <w:tcMar>
              <w:top w:w="60" w:type="dxa"/>
              <w:left w:w="90" w:type="dxa"/>
              <w:bottom w:w="60" w:type="dxa"/>
              <w:right w:w="90" w:type="dxa"/>
            </w:tcMar>
          </w:tcPr>
          <w:p>
            <w:pPr>
              <w:spacing w:after="0"/>
            </w:pPr>
            <w:r>
              <w:rPr>
                <w:b/>
                <w:color w:val="FFFFFF"/>
                <w:sz w:val="19"/>
              </w:rPr>
              <w:t>Item</w:t>
            </w:r>
          </w:p>
        </w:tc>
        <w:tc>
          <w:tcPr>
            <w:tcW w:type="dxa" w:w="6244"/>
            <w:shd w:val="clear" w:color="auto" w:fill="0B3B3C"/>
            <w:tcMar>
              <w:top w:w="60" w:type="dxa"/>
              <w:left w:w="90" w:type="dxa"/>
              <w:bottom w:w="60" w:type="dxa"/>
              <w:right w:w="90" w:type="dxa"/>
            </w:tcMar>
          </w:tcPr>
          <w:p>
            <w:pPr>
              <w:spacing w:after="0"/>
            </w:pPr>
            <w:r>
              <w:rPr>
                <w:b/>
                <w:color w:val="FFFFFF"/>
                <w:sz w:val="19"/>
              </w:rPr>
              <w:t>Detail</w:t>
            </w:r>
          </w:p>
        </w:tc>
      </w:tr>
      <w:tr>
        <w:trPr>
          <w:cantSplit w:val="true"/>
        </w:trPr>
        <w:tc>
          <w:tcPr>
            <w:tcW w:type="dxa" w:w="3394"/>
            <w:tcMar>
              <w:top w:w="60" w:type="dxa"/>
              <w:left w:w="90" w:type="dxa"/>
              <w:bottom w:w="60" w:type="dxa"/>
              <w:right w:w="90" w:type="dxa"/>
            </w:tcMar>
          </w:tcPr>
          <w:p>
            <w:pPr>
              <w:spacing w:after="0"/>
            </w:pPr>
            <w:r>
              <w:rPr>
                <w:sz w:val="19"/>
              </w:rPr>
              <w:t>Objective</w:t>
            </w:r>
          </w:p>
        </w:tc>
        <w:tc>
          <w:tcPr>
            <w:tcW w:type="dxa" w:w="6244"/>
            <w:tcMar>
              <w:top w:w="60" w:type="dxa"/>
              <w:left w:w="90" w:type="dxa"/>
              <w:bottom w:w="60" w:type="dxa"/>
              <w:right w:w="90" w:type="dxa"/>
            </w:tcMar>
          </w:tcPr>
          <w:p>
            <w:pPr>
              <w:spacing w:after="0"/>
            </w:pPr>
            <w:r>
              <w:rPr>
                <w:sz w:val="19"/>
              </w:rPr>
              <w:t>A breach is detected, assessed and reported quickly to the right people.</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Owner</w:t>
            </w:r>
          </w:p>
        </w:tc>
        <w:tc>
          <w:tcPr>
            <w:tcW w:type="dxa" w:w="6244"/>
            <w:tcMar>
              <w:top w:w="60" w:type="dxa"/>
              <w:left w:w="90" w:type="dxa"/>
              <w:bottom w:w="60" w:type="dxa"/>
              <w:right w:w="90" w:type="dxa"/>
            </w:tcMar>
            <w:shd w:val="clear" w:color="auto" w:fill="F2F7F6"/>
          </w:tcPr>
          <w:p>
            <w:pPr>
              <w:spacing w:after="0"/>
            </w:pPr>
            <w:r>
              <w:rPr>
                <w:sz w:val="19"/>
              </w:rPr>
              <w:t>Security lead with the privacy lead</w:t>
            </w:r>
          </w:p>
        </w:tc>
      </w:tr>
      <w:tr>
        <w:trPr>
          <w:cantSplit w:val="true"/>
        </w:trPr>
        <w:tc>
          <w:tcPr>
            <w:tcW w:type="dxa" w:w="3394"/>
            <w:tcMar>
              <w:top w:w="60" w:type="dxa"/>
              <w:left w:w="90" w:type="dxa"/>
              <w:bottom w:w="60" w:type="dxa"/>
              <w:right w:w="90" w:type="dxa"/>
            </w:tcMar>
          </w:tcPr>
          <w:p>
            <w:pPr>
              <w:spacing w:after="0"/>
            </w:pPr>
            <w:r>
              <w:rPr>
                <w:sz w:val="19"/>
              </w:rPr>
              <w:t>How often</w:t>
            </w:r>
          </w:p>
        </w:tc>
        <w:tc>
          <w:tcPr>
            <w:tcW w:type="dxa" w:w="6244"/>
            <w:tcMar>
              <w:top w:w="60" w:type="dxa"/>
              <w:left w:w="90" w:type="dxa"/>
              <w:bottom w:w="60" w:type="dxa"/>
              <w:right w:w="90" w:type="dxa"/>
            </w:tcMar>
          </w:tcPr>
          <w:p>
            <w:pPr>
              <w:spacing w:after="0"/>
            </w:pPr>
            <w:r>
              <w:rPr>
                <w:sz w:val="19"/>
              </w:rPr>
              <w:t>Test at least yearly</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Where the proof comes from</w:t>
            </w:r>
          </w:p>
        </w:tc>
        <w:tc>
          <w:tcPr>
            <w:tcW w:type="dxa" w:w="6244"/>
            <w:tcMar>
              <w:top w:w="60" w:type="dxa"/>
              <w:left w:w="90" w:type="dxa"/>
              <w:bottom w:w="60" w:type="dxa"/>
              <w:right w:w="90" w:type="dxa"/>
            </w:tcMar>
            <w:shd w:val="clear" w:color="auto" w:fill="F2F7F6"/>
          </w:tcPr>
          <w:p>
            <w:pPr>
              <w:spacing w:after="0"/>
            </w:pPr>
            <w:r>
              <w:rPr>
                <w:sz w:val="19"/>
              </w:rPr>
              <w:t>Incident response plan, incident register, exercise reports</w:t>
            </w:r>
          </w:p>
        </w:tc>
      </w:tr>
      <w:tr>
        <w:trPr>
          <w:cantSplit w:val="true"/>
        </w:trPr>
        <w:tc>
          <w:tcPr>
            <w:tcW w:type="dxa" w:w="3394"/>
            <w:tcMar>
              <w:top w:w="60" w:type="dxa"/>
              <w:left w:w="90" w:type="dxa"/>
              <w:bottom w:w="60" w:type="dxa"/>
              <w:right w:w="90" w:type="dxa"/>
            </w:tcMar>
          </w:tcPr>
          <w:p>
            <w:pPr>
              <w:spacing w:after="0"/>
            </w:pPr>
            <w:r>
              <w:rPr>
                <w:sz w:val="19"/>
              </w:rPr>
              <w:t>Met when</w:t>
            </w:r>
          </w:p>
        </w:tc>
        <w:tc>
          <w:tcPr>
            <w:tcW w:type="dxa" w:w="6244"/>
            <w:tcMar>
              <w:top w:w="60" w:type="dxa"/>
              <w:left w:w="90" w:type="dxa"/>
              <w:bottom w:w="60" w:type="dxa"/>
              <w:right w:w="90" w:type="dxa"/>
            </w:tcMar>
          </w:tcPr>
          <w:p>
            <w:pPr>
              <w:spacing w:after="0"/>
            </w:pPr>
            <w:r>
              <w:rPr>
                <w:sz w:val="19"/>
              </w:rPr>
              <w:t>A plan exists, roles are named, and a test or real response happened within 12 months.</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Partly met when</w:t>
            </w:r>
          </w:p>
        </w:tc>
        <w:tc>
          <w:tcPr>
            <w:tcW w:type="dxa" w:w="6244"/>
            <w:tcMar>
              <w:top w:w="60" w:type="dxa"/>
              <w:left w:w="90" w:type="dxa"/>
              <w:bottom w:w="60" w:type="dxa"/>
              <w:right w:w="90" w:type="dxa"/>
            </w:tcMar>
            <w:shd w:val="clear" w:color="auto" w:fill="F2F7F6"/>
          </w:tcPr>
          <w:p>
            <w:pPr>
              <w:spacing w:after="0"/>
            </w:pPr>
            <w:r>
              <w:rPr>
                <w:sz w:val="19"/>
              </w:rPr>
              <w:t>Plan exists but untested.</w:t>
            </w:r>
          </w:p>
        </w:tc>
      </w:tr>
      <w:tr>
        <w:trPr>
          <w:cantSplit w:val="true"/>
        </w:trPr>
        <w:tc>
          <w:tcPr>
            <w:tcW w:type="dxa" w:w="3394"/>
            <w:tcMar>
              <w:top w:w="60" w:type="dxa"/>
              <w:left w:w="90" w:type="dxa"/>
              <w:bottom w:w="60" w:type="dxa"/>
              <w:right w:w="90" w:type="dxa"/>
            </w:tcMar>
          </w:tcPr>
          <w:p>
            <w:pPr>
              <w:spacing w:after="0"/>
            </w:pPr>
            <w:r>
              <w:rPr>
                <w:sz w:val="19"/>
              </w:rPr>
              <w:t>Not met when</w:t>
            </w:r>
          </w:p>
        </w:tc>
        <w:tc>
          <w:tcPr>
            <w:tcW w:type="dxa" w:w="6244"/>
            <w:tcMar>
              <w:top w:w="60" w:type="dxa"/>
              <w:left w:w="90" w:type="dxa"/>
              <w:bottom w:w="60" w:type="dxa"/>
              <w:right w:w="90" w:type="dxa"/>
            </w:tcMar>
          </w:tcPr>
          <w:p>
            <w:pPr>
              <w:spacing w:after="0"/>
            </w:pPr>
            <w:r>
              <w:rPr>
                <w:sz w:val="19"/>
              </w:rPr>
              <w:t>No plan.</w:t>
            </w:r>
          </w:p>
        </w:tc>
      </w:tr>
      <w:tr>
        <w:trPr>
          <w:cantSplit w:val="true"/>
        </w:trPr>
        <w:tc>
          <w:tcPr>
            <w:tcW w:type="dxa" w:w="3394"/>
            <w:tcMar>
              <w:top w:w="60" w:type="dxa"/>
              <w:left w:w="90" w:type="dxa"/>
              <w:bottom w:w="60" w:type="dxa"/>
              <w:right w:w="90" w:type="dxa"/>
            </w:tcMar>
            <w:shd w:val="clear" w:color="auto" w:fill="F2F7F6"/>
          </w:tcPr>
          <w:p>
            <w:pPr>
              <w:spacing w:after="0"/>
            </w:pPr>
            <w:r>
              <w:rPr>
                <w:sz w:val="19"/>
              </w:rPr>
              <w:t>Sample size</w:t>
            </w:r>
          </w:p>
        </w:tc>
        <w:tc>
          <w:tcPr>
            <w:tcW w:type="dxa" w:w="6244"/>
            <w:tcMar>
              <w:top w:w="60" w:type="dxa"/>
              <w:left w:w="90" w:type="dxa"/>
              <w:bottom w:w="60" w:type="dxa"/>
              <w:right w:w="90" w:type="dxa"/>
            </w:tcMar>
            <w:shd w:val="clear" w:color="auto" w:fill="F2F7F6"/>
          </w:tcPr>
          <w:p>
            <w:pPr>
              <w:spacing w:after="0"/>
            </w:pPr>
            <w:r>
              <w:rPr>
                <w:sz w:val="19"/>
              </w:rPr>
              <w:t>The plan, the register and one exercise.</w:t>
            </w:r>
          </w:p>
        </w:tc>
      </w:tr>
      <w:tr>
        <w:trPr>
          <w:cantSplit w:val="true"/>
        </w:trPr>
        <w:tc>
          <w:tcPr>
            <w:tcW w:type="dxa" w:w="3394"/>
            <w:tcMar>
              <w:top w:w="60" w:type="dxa"/>
              <w:left w:w="90" w:type="dxa"/>
              <w:bottom w:w="60" w:type="dxa"/>
              <w:right w:w="90" w:type="dxa"/>
            </w:tcMar>
          </w:tcPr>
          <w:p>
            <w:pPr>
              <w:spacing w:after="0"/>
            </w:pPr>
            <w:r>
              <w:rPr>
                <w:sz w:val="19"/>
              </w:rPr>
              <w:t>Common reasons for rejection</w:t>
            </w:r>
          </w:p>
        </w:tc>
        <w:tc>
          <w:tcPr>
            <w:tcW w:type="dxa" w:w="6244"/>
            <w:tcMar>
              <w:top w:w="60" w:type="dxa"/>
              <w:left w:w="90" w:type="dxa"/>
              <w:bottom w:w="60" w:type="dxa"/>
              <w:right w:w="90" w:type="dxa"/>
            </w:tcMar>
          </w:tcPr>
          <w:p>
            <w:pPr>
              <w:spacing w:after="0"/>
            </w:pPr>
            <w:r>
              <w:rPr>
                <w:sz w:val="19"/>
              </w:rPr>
              <w:t>A plan with no phone numbers; an exercise with no record of who attended.</w:t>
            </w:r>
          </w:p>
        </w:tc>
      </w:tr>
    </w:tbl>
    <w:p>
      <w:pPr>
        <w:spacing w:after="40"/>
      </w:pPr>
    </w:p>
    <w:p>
      <w:r>
        <w:rPr>
          <w:b/>
        </w:rPr>
        <w:t>Capture steps</w:t>
      </w:r>
    </w:p>
    <w:p>
      <w:pPr>
        <w:spacing w:after="60"/>
        <w:ind w:left="510" w:hanging="340"/>
      </w:pPr>
      <w:r>
        <w:rPr>
          <w:b/>
          <w:color w:val="0B3B3C"/>
        </w:rPr>
        <w:t xml:space="preserve">1.  </w:t>
      </w:r>
      <w:r>
        <w:t>Capture the incident response plan with roles, contact tree and a notification template for the Board and affected people.</w:t>
      </w:r>
    </w:p>
    <w:p>
      <w:pPr>
        <w:spacing w:after="60"/>
        <w:ind w:left="510" w:hanging="340"/>
      </w:pPr>
      <w:r>
        <w:rPr>
          <w:b/>
          <w:color w:val="0B3B3C"/>
        </w:rPr>
        <w:t xml:space="preserve">2.  </w:t>
      </w:r>
      <w:r>
        <w:t>Capture the incident register for the last 12 months, including near misses.</w:t>
      </w:r>
    </w:p>
    <w:p>
      <w:pPr>
        <w:spacing w:after="60"/>
        <w:ind w:left="510" w:hanging="340"/>
      </w:pPr>
      <w:r>
        <w:rPr>
          <w:b/>
          <w:color w:val="0B3B3C"/>
        </w:rPr>
        <w:t xml:space="preserve">3.  </w:t>
      </w:r>
      <w:r>
        <w:t>Capture a tabletop exercise or real incident report: date, participants, timeline, lessons learned.</w:t>
      </w:r>
    </w:p>
    <w:p>
      <w:pPr>
        <w:spacing w:after="60"/>
        <w:ind w:left="510" w:hanging="340"/>
      </w:pPr>
      <w:r>
        <w:rPr>
          <w:b/>
          <w:color w:val="0B3B3C"/>
        </w:rPr>
        <w:t xml:space="preserve">4.  </w:t>
      </w:r>
      <w:r>
        <w:t>Show the decision log for any incident on whether notification was needed.</w:t>
      </w:r>
    </w:p>
    <w:p>
      <w:pPr>
        <w:pStyle w:val="Heading2"/>
      </w:pPr>
      <w:r>
        <w:t>6. Framework by framework</w:t>
      </w:r>
    </w:p>
    <w:p>
      <w:r>
        <w:t xml:space="preserve">For each framework: </w:t>
      </w:r>
      <w:r>
        <w:rPr>
          <w:b/>
        </w:rPr>
        <w:t>requirement → control(s) → what you do and capture</w:t>
      </w:r>
      <w:r>
        <w:t>. Follow the procedure in section 5 for every control named.</w:t>
      </w:r>
    </w:p>
    <w:p>
      <w:pPr>
        <w:pStyle w:val="Heading3"/>
      </w:pPr>
      <w:r>
        <w:t>6.1 ISO/IEC 27001:2022 (12 requirements)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3507"/>
            <w:shd w:val="clear" w:color="auto" w:fill="0B3B3C"/>
            <w:tcMar>
              <w:top w:w="60" w:type="dxa"/>
              <w:left w:w="90" w:type="dxa"/>
              <w:bottom w:w="60" w:type="dxa"/>
              <w:right w:w="90" w:type="dxa"/>
            </w:tcMar>
          </w:tcPr>
          <w:p>
            <w:pPr>
              <w:spacing w:after="0"/>
            </w:pPr>
            <w:r>
              <w:rPr>
                <w:b/>
                <w:color w:val="FFFFFF"/>
                <w:sz w:val="19"/>
              </w:rPr>
              <w:t>Requirement</w:t>
            </w:r>
          </w:p>
        </w:tc>
        <w:tc>
          <w:tcPr>
            <w:tcW w:type="dxa" w:w="1181"/>
            <w:shd w:val="clear" w:color="auto" w:fill="0B3B3C"/>
            <w:tcMar>
              <w:top w:w="60" w:type="dxa"/>
              <w:left w:w="90" w:type="dxa"/>
              <w:bottom w:w="60" w:type="dxa"/>
              <w:right w:w="90" w:type="dxa"/>
            </w:tcMar>
          </w:tcPr>
          <w:p>
            <w:pPr>
              <w:spacing w:after="0"/>
            </w:pPr>
            <w:r>
              <w:rPr>
                <w:b/>
                <w:color w:val="FFFFFF"/>
                <w:sz w:val="19"/>
              </w:rPr>
              <w:t>Control</w:t>
            </w:r>
          </w:p>
        </w:tc>
        <w:tc>
          <w:tcPr>
            <w:tcW w:type="dxa" w:w="4950"/>
            <w:shd w:val="clear" w:color="auto" w:fill="0B3B3C"/>
            <w:tcMar>
              <w:top w:w="60" w:type="dxa"/>
              <w:left w:w="90" w:type="dxa"/>
              <w:bottom w:w="60" w:type="dxa"/>
              <w:right w:w="90" w:type="dxa"/>
            </w:tcMar>
          </w:tcPr>
          <w:p>
            <w:pPr>
              <w:spacing w:after="0"/>
            </w:pPr>
            <w:r>
              <w:rPr>
                <w:b/>
                <w:color w:val="FFFFFF"/>
                <w:sz w:val="19"/>
              </w:rPr>
              <w:t>Do and capture</w:t>
            </w:r>
          </w:p>
        </w:tc>
      </w:tr>
      <w:tr>
        <w:trPr>
          <w:cantSplit w:val="true"/>
        </w:trPr>
        <w:tc>
          <w:tcPr>
            <w:tcW w:type="dxa" w:w="3507"/>
            <w:tcMar>
              <w:top w:w="60" w:type="dxa"/>
              <w:left w:w="90" w:type="dxa"/>
              <w:bottom w:w="60" w:type="dxa"/>
              <w:right w:w="90" w:type="dxa"/>
            </w:tcMar>
          </w:tcPr>
          <w:p>
            <w:pPr>
              <w:spacing w:after="0"/>
            </w:pPr>
            <w:r>
              <w:rPr>
                <w:sz w:val="19"/>
              </w:rPr>
              <w:t>A.5.1 Policies for information security</w:t>
            </w:r>
          </w:p>
        </w:tc>
        <w:tc>
          <w:tcPr>
            <w:tcW w:type="dxa" w:w="1181"/>
            <w:tcMar>
              <w:top w:w="60" w:type="dxa"/>
              <w:left w:w="90" w:type="dxa"/>
              <w:bottom w:w="60" w:type="dxa"/>
              <w:right w:w="90" w:type="dxa"/>
            </w:tcMar>
          </w:tcPr>
          <w:p>
            <w:pPr>
              <w:spacing w:after="0"/>
            </w:pPr>
            <w:r>
              <w:rPr>
                <w:sz w:val="19"/>
              </w:rPr>
              <w:t>GOV-001</w:t>
            </w:r>
          </w:p>
        </w:tc>
        <w:tc>
          <w:tcPr>
            <w:tcW w:type="dxa" w:w="4950"/>
            <w:tcMar>
              <w:top w:w="60" w:type="dxa"/>
              <w:left w:w="90" w:type="dxa"/>
              <w:bottom w:w="60" w:type="dxa"/>
              <w:right w:w="90" w:type="dxa"/>
            </w:tcMar>
          </w:tcPr>
          <w:p>
            <w:pPr>
              <w:spacing w:after="0"/>
            </w:pPr>
            <w:r>
              <w:rPr>
                <w:sz w:val="19"/>
              </w:rPr>
              <w:t>Information security policy and topic policies, approved by management, reviewed annually, communicated to staff</w:t>
            </w:r>
          </w:p>
        </w:tc>
      </w:tr>
      <w:tr>
        <w:trPr>
          <w:cantSplit w:val="true"/>
        </w:trPr>
        <w:tc>
          <w:tcPr>
            <w:tcW w:type="dxa" w:w="3507"/>
            <w:tcMar>
              <w:top w:w="60" w:type="dxa"/>
              <w:left w:w="90" w:type="dxa"/>
              <w:bottom w:w="60" w:type="dxa"/>
              <w:right w:w="90" w:type="dxa"/>
            </w:tcMar>
            <w:shd w:val="clear" w:color="auto" w:fill="F2F7F6"/>
          </w:tcPr>
          <w:p>
            <w:pPr>
              <w:spacing w:after="0"/>
            </w:pPr>
            <w:r>
              <w:rPr>
                <w:sz w:val="19"/>
              </w:rPr>
              <w:t>A.5.16 Identity management</w:t>
            </w:r>
          </w:p>
        </w:tc>
        <w:tc>
          <w:tcPr>
            <w:tcW w:type="dxa" w:w="1181"/>
            <w:tcMar>
              <w:top w:w="60" w:type="dxa"/>
              <w:left w:w="90" w:type="dxa"/>
              <w:bottom w:w="60" w:type="dxa"/>
              <w:right w:w="90" w:type="dxa"/>
            </w:tcMar>
            <w:shd w:val="clear" w:color="auto" w:fill="F2F7F6"/>
          </w:tcPr>
          <w:p>
            <w:pPr>
              <w:spacing w:after="0"/>
            </w:pPr>
            <w:r>
              <w:rPr>
                <w:sz w:val="19"/>
              </w:rPr>
              <w:t>IAM-003</w:t>
            </w:r>
          </w:p>
        </w:tc>
        <w:tc>
          <w:tcPr>
            <w:tcW w:type="dxa" w:w="4950"/>
            <w:tcMar>
              <w:top w:w="60" w:type="dxa"/>
              <w:left w:w="90" w:type="dxa"/>
              <w:bottom w:w="60" w:type="dxa"/>
              <w:right w:w="90" w:type="dxa"/>
            </w:tcMar>
            <w:shd w:val="clear" w:color="auto" w:fill="F2F7F6"/>
          </w:tcPr>
          <w:p>
            <w:pPr>
              <w:spacing w:after="0"/>
            </w:pPr>
            <w:r>
              <w:rPr>
                <w:sz w:val="19"/>
              </w:rPr>
              <w:t>Joiner, mover, leaver procedure; leaver reconciliation; inactive accounts report</w:t>
            </w:r>
          </w:p>
        </w:tc>
      </w:tr>
      <w:tr>
        <w:trPr>
          <w:cantSplit w:val="true"/>
        </w:trPr>
        <w:tc>
          <w:tcPr>
            <w:tcW w:type="dxa" w:w="3507"/>
            <w:tcMar>
              <w:top w:w="60" w:type="dxa"/>
              <w:left w:w="90" w:type="dxa"/>
              <w:bottom w:w="60" w:type="dxa"/>
              <w:right w:w="90" w:type="dxa"/>
            </w:tcMar>
          </w:tcPr>
          <w:p>
            <w:pPr>
              <w:spacing w:after="0"/>
            </w:pPr>
            <w:r>
              <w:rPr>
                <w:sz w:val="19"/>
              </w:rPr>
              <w:t>A.5.19 Supplier relationships</w:t>
            </w:r>
          </w:p>
        </w:tc>
        <w:tc>
          <w:tcPr>
            <w:tcW w:type="dxa" w:w="1181"/>
            <w:tcMar>
              <w:top w:w="60" w:type="dxa"/>
              <w:left w:w="90" w:type="dxa"/>
              <w:bottom w:w="60" w:type="dxa"/>
              <w:right w:w="90" w:type="dxa"/>
            </w:tcMar>
          </w:tcPr>
          <w:p>
            <w:pPr>
              <w:spacing w:after="0"/>
            </w:pPr>
            <w:r>
              <w:rPr>
                <w:sz w:val="19"/>
              </w:rPr>
              <w:t>VEND-001</w:t>
            </w:r>
          </w:p>
        </w:tc>
        <w:tc>
          <w:tcPr>
            <w:tcW w:type="dxa" w:w="4950"/>
            <w:tcMar>
              <w:top w:w="60" w:type="dxa"/>
              <w:left w:w="90" w:type="dxa"/>
              <w:bottom w:w="60" w:type="dxa"/>
              <w:right w:w="90" w:type="dxa"/>
            </w:tcMar>
          </w:tcPr>
          <w:p>
            <w:pPr>
              <w:spacing w:after="0"/>
            </w:pPr>
            <w:r>
              <w:rPr>
                <w:sz w:val="19"/>
              </w:rPr>
              <w:t>Supplier register; due diligence; contracts</w:t>
            </w:r>
          </w:p>
        </w:tc>
      </w:tr>
      <w:tr>
        <w:trPr>
          <w:cantSplit w:val="true"/>
        </w:trPr>
        <w:tc>
          <w:tcPr>
            <w:tcW w:type="dxa" w:w="3507"/>
            <w:tcMar>
              <w:top w:w="60" w:type="dxa"/>
              <w:left w:w="90" w:type="dxa"/>
              <w:bottom w:w="60" w:type="dxa"/>
              <w:right w:w="90" w:type="dxa"/>
            </w:tcMar>
            <w:shd w:val="clear" w:color="auto" w:fill="F2F7F6"/>
          </w:tcPr>
          <w:p>
            <w:pPr>
              <w:spacing w:after="0"/>
            </w:pPr>
            <w:r>
              <w:rPr>
                <w:sz w:val="19"/>
              </w:rPr>
              <w:t>A.6.3 Awareness and training</w:t>
            </w:r>
          </w:p>
        </w:tc>
        <w:tc>
          <w:tcPr>
            <w:tcW w:type="dxa" w:w="1181"/>
            <w:tcMar>
              <w:top w:w="60" w:type="dxa"/>
              <w:left w:w="90" w:type="dxa"/>
              <w:bottom w:w="60" w:type="dxa"/>
              <w:right w:w="90" w:type="dxa"/>
            </w:tcMar>
            <w:shd w:val="clear" w:color="auto" w:fill="F2F7F6"/>
          </w:tcPr>
          <w:p>
            <w:pPr>
              <w:spacing w:after="0"/>
            </w:pPr>
            <w:r>
              <w:rPr>
                <w:sz w:val="19"/>
              </w:rPr>
              <w:t>HR-001</w:t>
            </w:r>
          </w:p>
        </w:tc>
        <w:tc>
          <w:tcPr>
            <w:tcW w:type="dxa" w:w="4950"/>
            <w:tcMar>
              <w:top w:w="60" w:type="dxa"/>
              <w:left w:w="90" w:type="dxa"/>
              <w:bottom w:w="60" w:type="dxa"/>
              <w:right w:w="90" w:type="dxa"/>
            </w:tcMar>
            <w:shd w:val="clear" w:color="auto" w:fill="F2F7F6"/>
          </w:tcPr>
          <w:p>
            <w:pPr>
              <w:spacing w:after="0"/>
            </w:pPr>
            <w:r>
              <w:rPr>
                <w:sz w:val="19"/>
              </w:rPr>
              <w:t>Training plan and completion export</w:t>
            </w:r>
          </w:p>
        </w:tc>
      </w:tr>
      <w:tr>
        <w:trPr>
          <w:cantSplit w:val="true"/>
        </w:trPr>
        <w:tc>
          <w:tcPr>
            <w:tcW w:type="dxa" w:w="3507"/>
            <w:tcMar>
              <w:top w:w="60" w:type="dxa"/>
              <w:left w:w="90" w:type="dxa"/>
              <w:bottom w:w="60" w:type="dxa"/>
              <w:right w:w="90" w:type="dxa"/>
            </w:tcMar>
          </w:tcPr>
          <w:p>
            <w:pPr>
              <w:spacing w:after="0"/>
            </w:pPr>
            <w:r>
              <w:rPr>
                <w:sz w:val="19"/>
              </w:rPr>
              <w:t>A.7.1 Physical security perimeters</w:t>
            </w:r>
          </w:p>
        </w:tc>
        <w:tc>
          <w:tcPr>
            <w:tcW w:type="dxa" w:w="1181"/>
            <w:tcMar>
              <w:top w:w="60" w:type="dxa"/>
              <w:left w:w="90" w:type="dxa"/>
              <w:bottom w:w="60" w:type="dxa"/>
              <w:right w:w="90" w:type="dxa"/>
            </w:tcMar>
          </w:tcPr>
          <w:p>
            <w:pPr>
              <w:spacing w:after="0"/>
            </w:pPr>
            <w:r>
              <w:rPr>
                <w:sz w:val="19"/>
              </w:rPr>
              <w:t>PHYS-001</w:t>
            </w:r>
          </w:p>
        </w:tc>
        <w:tc>
          <w:tcPr>
            <w:tcW w:type="dxa" w:w="4950"/>
            <w:tcMar>
              <w:top w:w="60" w:type="dxa"/>
              <w:left w:w="90" w:type="dxa"/>
              <w:bottom w:w="60" w:type="dxa"/>
              <w:right w:w="90" w:type="dxa"/>
            </w:tcMar>
          </w:tcPr>
          <w:p>
            <w:pPr>
              <w:spacing w:after="0"/>
            </w:pPr>
            <w:r>
              <w:rPr>
                <w:sz w:val="19"/>
              </w:rPr>
              <w:t>Site entry controls, visitor logs, access list review</w:t>
            </w:r>
          </w:p>
        </w:tc>
      </w:tr>
      <w:tr>
        <w:trPr>
          <w:cantSplit w:val="true"/>
        </w:trPr>
        <w:tc>
          <w:tcPr>
            <w:tcW w:type="dxa" w:w="3507"/>
            <w:tcMar>
              <w:top w:w="60" w:type="dxa"/>
              <w:left w:w="90" w:type="dxa"/>
              <w:bottom w:w="60" w:type="dxa"/>
              <w:right w:w="90" w:type="dxa"/>
            </w:tcMar>
            <w:shd w:val="clear" w:color="auto" w:fill="F2F7F6"/>
          </w:tcPr>
          <w:p>
            <w:pPr>
              <w:spacing w:after="0"/>
            </w:pPr>
            <w:r>
              <w:rPr>
                <w:sz w:val="19"/>
              </w:rPr>
              <w:t>A.8.2 Privileged access rights</w:t>
            </w:r>
          </w:p>
        </w:tc>
        <w:tc>
          <w:tcPr>
            <w:tcW w:type="dxa" w:w="1181"/>
            <w:tcMar>
              <w:top w:w="60" w:type="dxa"/>
              <w:left w:w="90" w:type="dxa"/>
              <w:bottom w:w="60" w:type="dxa"/>
              <w:right w:w="90" w:type="dxa"/>
            </w:tcMar>
            <w:shd w:val="clear" w:color="auto" w:fill="F2F7F6"/>
          </w:tcPr>
          <w:p>
            <w:pPr>
              <w:spacing w:after="0"/>
            </w:pPr>
            <w:r>
              <w:rPr>
                <w:sz w:val="19"/>
              </w:rPr>
              <w:t>IAM-002</w:t>
            </w:r>
          </w:p>
        </w:tc>
        <w:tc>
          <w:tcPr>
            <w:tcW w:type="dxa" w:w="4950"/>
            <w:tcMar>
              <w:top w:w="60" w:type="dxa"/>
              <w:left w:w="90" w:type="dxa"/>
              <w:bottom w:w="60" w:type="dxa"/>
              <w:right w:w="90" w:type="dxa"/>
            </w:tcMar>
            <w:shd w:val="clear" w:color="auto" w:fill="F2F7F6"/>
          </w:tcPr>
          <w:p>
            <w:pPr>
              <w:spacing w:after="0"/>
            </w:pPr>
            <w:r>
              <w:rPr>
                <w:sz w:val="19"/>
              </w:rPr>
              <w:t>Admin list, quarterly access review</w:t>
            </w:r>
          </w:p>
        </w:tc>
      </w:tr>
      <w:tr>
        <w:trPr>
          <w:cantSplit w:val="true"/>
        </w:trPr>
        <w:tc>
          <w:tcPr>
            <w:tcW w:type="dxa" w:w="3507"/>
            <w:tcMar>
              <w:top w:w="60" w:type="dxa"/>
              <w:left w:w="90" w:type="dxa"/>
              <w:bottom w:w="60" w:type="dxa"/>
              <w:right w:w="90" w:type="dxa"/>
            </w:tcMar>
          </w:tcPr>
          <w:p>
            <w:pPr>
              <w:spacing w:after="0"/>
            </w:pPr>
            <w:r>
              <w:rPr>
                <w:sz w:val="19"/>
              </w:rPr>
              <w:t>A.8.5 Secure authentication</w:t>
            </w:r>
          </w:p>
        </w:tc>
        <w:tc>
          <w:tcPr>
            <w:tcW w:type="dxa" w:w="1181"/>
            <w:tcMar>
              <w:top w:w="60" w:type="dxa"/>
              <w:left w:w="90" w:type="dxa"/>
              <w:bottom w:w="60" w:type="dxa"/>
              <w:right w:w="90" w:type="dxa"/>
            </w:tcMar>
          </w:tcPr>
          <w:p>
            <w:pPr>
              <w:spacing w:after="0"/>
            </w:pPr>
            <w:r>
              <w:rPr>
                <w:sz w:val="19"/>
              </w:rPr>
              <w:t>IAM-001</w:t>
            </w:r>
          </w:p>
        </w:tc>
        <w:tc>
          <w:tcPr>
            <w:tcW w:type="dxa" w:w="4950"/>
            <w:tcMar>
              <w:top w:w="60" w:type="dxa"/>
              <w:left w:w="90" w:type="dxa"/>
              <w:bottom w:w="60" w:type="dxa"/>
              <w:right w:w="90" w:type="dxa"/>
            </w:tcMar>
          </w:tcPr>
          <w:p>
            <w:pPr>
              <w:spacing w:after="0"/>
            </w:pPr>
            <w:r>
              <w:rPr>
                <w:sz w:val="19"/>
              </w:rPr>
              <w:t>MFA report, password and sign-in policy</w:t>
            </w:r>
          </w:p>
        </w:tc>
      </w:tr>
      <w:tr>
        <w:trPr>
          <w:cantSplit w:val="true"/>
        </w:trPr>
        <w:tc>
          <w:tcPr>
            <w:tcW w:type="dxa" w:w="3507"/>
            <w:tcMar>
              <w:top w:w="60" w:type="dxa"/>
              <w:left w:w="90" w:type="dxa"/>
              <w:bottom w:w="60" w:type="dxa"/>
              <w:right w:w="90" w:type="dxa"/>
            </w:tcMar>
            <w:shd w:val="clear" w:color="auto" w:fill="F2F7F6"/>
          </w:tcPr>
          <w:p>
            <w:pPr>
              <w:spacing w:after="0"/>
            </w:pPr>
            <w:r>
              <w:rPr>
                <w:sz w:val="19"/>
              </w:rPr>
              <w:t>A.8.8 Technical vulnerabilities</w:t>
            </w:r>
          </w:p>
        </w:tc>
        <w:tc>
          <w:tcPr>
            <w:tcW w:type="dxa" w:w="1181"/>
            <w:tcMar>
              <w:top w:w="60" w:type="dxa"/>
              <w:left w:w="90" w:type="dxa"/>
              <w:bottom w:w="60" w:type="dxa"/>
              <w:right w:w="90" w:type="dxa"/>
            </w:tcMar>
            <w:shd w:val="clear" w:color="auto" w:fill="F2F7F6"/>
          </w:tcPr>
          <w:p>
            <w:pPr>
              <w:spacing w:after="0"/>
            </w:pPr>
            <w:r>
              <w:rPr>
                <w:sz w:val="19"/>
              </w:rPr>
              <w:t>VULN-001</w:t>
            </w:r>
          </w:p>
        </w:tc>
        <w:tc>
          <w:tcPr>
            <w:tcW w:type="dxa" w:w="4950"/>
            <w:tcMar>
              <w:top w:w="60" w:type="dxa"/>
              <w:left w:w="90" w:type="dxa"/>
              <w:bottom w:w="60" w:type="dxa"/>
              <w:right w:w="90" w:type="dxa"/>
            </w:tcMar>
            <w:shd w:val="clear" w:color="auto" w:fill="F2F7F6"/>
          </w:tcPr>
          <w:p>
            <w:pPr>
              <w:spacing w:after="0"/>
            </w:pPr>
            <w:r>
              <w:rPr>
                <w:sz w:val="19"/>
              </w:rPr>
              <w:t>Scan reports, patching SLA, fix tracker</w:t>
            </w:r>
          </w:p>
        </w:tc>
      </w:tr>
      <w:tr>
        <w:trPr>
          <w:cantSplit w:val="true"/>
        </w:trPr>
        <w:tc>
          <w:tcPr>
            <w:tcW w:type="dxa" w:w="3507"/>
            <w:tcMar>
              <w:top w:w="60" w:type="dxa"/>
              <w:left w:w="90" w:type="dxa"/>
              <w:bottom w:w="60" w:type="dxa"/>
              <w:right w:w="90" w:type="dxa"/>
            </w:tcMar>
          </w:tcPr>
          <w:p>
            <w:pPr>
              <w:spacing w:after="0"/>
            </w:pPr>
            <w:r>
              <w:rPr>
                <w:sz w:val="19"/>
              </w:rPr>
              <w:t>A.8.13 Information backup</w:t>
            </w:r>
          </w:p>
        </w:tc>
        <w:tc>
          <w:tcPr>
            <w:tcW w:type="dxa" w:w="1181"/>
            <w:tcMar>
              <w:top w:w="60" w:type="dxa"/>
              <w:left w:w="90" w:type="dxa"/>
              <w:bottom w:w="60" w:type="dxa"/>
              <w:right w:w="90" w:type="dxa"/>
            </w:tcMar>
          </w:tcPr>
          <w:p>
            <w:pPr>
              <w:spacing w:after="0"/>
            </w:pPr>
            <w:r>
              <w:rPr>
                <w:sz w:val="19"/>
              </w:rPr>
              <w:t>BCP-001</w:t>
            </w:r>
          </w:p>
        </w:tc>
        <w:tc>
          <w:tcPr>
            <w:tcW w:type="dxa" w:w="4950"/>
            <w:tcMar>
              <w:top w:w="60" w:type="dxa"/>
              <w:left w:w="90" w:type="dxa"/>
              <w:bottom w:w="60" w:type="dxa"/>
              <w:right w:w="90" w:type="dxa"/>
            </w:tcMar>
          </w:tcPr>
          <w:p>
            <w:pPr>
              <w:spacing w:after="0"/>
            </w:pPr>
            <w:r>
              <w:rPr>
                <w:sz w:val="19"/>
              </w:rPr>
              <w:t>Backup reports, restore test</w:t>
            </w:r>
          </w:p>
        </w:tc>
      </w:tr>
      <w:tr>
        <w:trPr>
          <w:cantSplit w:val="true"/>
        </w:trPr>
        <w:tc>
          <w:tcPr>
            <w:tcW w:type="dxa" w:w="3507"/>
            <w:tcMar>
              <w:top w:w="60" w:type="dxa"/>
              <w:left w:w="90" w:type="dxa"/>
              <w:bottom w:w="60" w:type="dxa"/>
              <w:right w:w="90" w:type="dxa"/>
            </w:tcMar>
            <w:shd w:val="clear" w:color="auto" w:fill="F2F7F6"/>
          </w:tcPr>
          <w:p>
            <w:pPr>
              <w:spacing w:after="0"/>
            </w:pPr>
            <w:r>
              <w:rPr>
                <w:sz w:val="19"/>
              </w:rPr>
              <w:t>A.8.15 Logging</w:t>
            </w:r>
          </w:p>
        </w:tc>
        <w:tc>
          <w:tcPr>
            <w:tcW w:type="dxa" w:w="1181"/>
            <w:tcMar>
              <w:top w:w="60" w:type="dxa"/>
              <w:left w:w="90" w:type="dxa"/>
              <w:bottom w:w="60" w:type="dxa"/>
              <w:right w:w="90" w:type="dxa"/>
            </w:tcMar>
            <w:shd w:val="clear" w:color="auto" w:fill="F2F7F6"/>
          </w:tcPr>
          <w:p>
            <w:pPr>
              <w:spacing w:after="0"/>
            </w:pPr>
            <w:r>
              <w:rPr>
                <w:sz w:val="19"/>
              </w:rPr>
              <w:t>LOG-001</w:t>
            </w:r>
          </w:p>
        </w:tc>
        <w:tc>
          <w:tcPr>
            <w:tcW w:type="dxa" w:w="4950"/>
            <w:tcMar>
              <w:top w:w="60" w:type="dxa"/>
              <w:left w:w="90" w:type="dxa"/>
              <w:bottom w:w="60" w:type="dxa"/>
              <w:right w:w="90" w:type="dxa"/>
            </w:tcMar>
            <w:shd w:val="clear" w:color="auto" w:fill="F2F7F6"/>
          </w:tcPr>
          <w:p>
            <w:pPr>
              <w:spacing w:after="0"/>
            </w:pPr>
            <w:r>
              <w:rPr>
                <w:sz w:val="19"/>
              </w:rPr>
              <w:t>Logging configuration, retention, alert review</w:t>
            </w:r>
          </w:p>
        </w:tc>
      </w:tr>
      <w:tr>
        <w:trPr>
          <w:cantSplit w:val="true"/>
        </w:trPr>
        <w:tc>
          <w:tcPr>
            <w:tcW w:type="dxa" w:w="3507"/>
            <w:tcMar>
              <w:top w:w="60" w:type="dxa"/>
              <w:left w:w="90" w:type="dxa"/>
              <w:bottom w:w="60" w:type="dxa"/>
              <w:right w:w="90" w:type="dxa"/>
            </w:tcMar>
          </w:tcPr>
          <w:p>
            <w:pPr>
              <w:spacing w:after="0"/>
            </w:pPr>
            <w:r>
              <w:rPr>
                <w:sz w:val="19"/>
              </w:rPr>
              <w:t>A.8.20 Networks security</w:t>
            </w:r>
          </w:p>
        </w:tc>
        <w:tc>
          <w:tcPr>
            <w:tcW w:type="dxa" w:w="1181"/>
            <w:tcMar>
              <w:top w:w="60" w:type="dxa"/>
              <w:left w:w="90" w:type="dxa"/>
              <w:bottom w:w="60" w:type="dxa"/>
              <w:right w:w="90" w:type="dxa"/>
            </w:tcMar>
          </w:tcPr>
          <w:p>
            <w:pPr>
              <w:spacing w:after="0"/>
            </w:pPr>
            <w:r>
              <w:rPr>
                <w:sz w:val="19"/>
              </w:rPr>
              <w:t>NET-001</w:t>
            </w:r>
          </w:p>
        </w:tc>
        <w:tc>
          <w:tcPr>
            <w:tcW w:type="dxa" w:w="4950"/>
            <w:tcMar>
              <w:top w:w="60" w:type="dxa"/>
              <w:left w:w="90" w:type="dxa"/>
              <w:bottom w:w="60" w:type="dxa"/>
              <w:right w:w="90" w:type="dxa"/>
            </w:tcMar>
          </w:tcPr>
          <w:p>
            <w:pPr>
              <w:spacing w:after="0"/>
            </w:pPr>
            <w:r>
              <w:rPr>
                <w:sz w:val="19"/>
              </w:rPr>
              <w:t>Firewall and public-exposure review</w:t>
            </w:r>
          </w:p>
        </w:tc>
      </w:tr>
      <w:tr>
        <w:trPr>
          <w:cantSplit w:val="true"/>
        </w:trPr>
        <w:tc>
          <w:tcPr>
            <w:tcW w:type="dxa" w:w="3507"/>
            <w:tcMar>
              <w:top w:w="60" w:type="dxa"/>
              <w:left w:w="90" w:type="dxa"/>
              <w:bottom w:w="60" w:type="dxa"/>
              <w:right w:w="90" w:type="dxa"/>
            </w:tcMar>
            <w:shd w:val="clear" w:color="auto" w:fill="F2F7F6"/>
          </w:tcPr>
          <w:p>
            <w:pPr>
              <w:spacing w:after="0"/>
            </w:pPr>
            <w:r>
              <w:rPr>
                <w:sz w:val="19"/>
              </w:rPr>
              <w:t>A.8.24 Use of cryptography</w:t>
            </w:r>
          </w:p>
        </w:tc>
        <w:tc>
          <w:tcPr>
            <w:tcW w:type="dxa" w:w="1181"/>
            <w:tcMar>
              <w:top w:w="60" w:type="dxa"/>
              <w:left w:w="90" w:type="dxa"/>
              <w:bottom w:w="60" w:type="dxa"/>
              <w:right w:w="90" w:type="dxa"/>
            </w:tcMar>
            <w:shd w:val="clear" w:color="auto" w:fill="F2F7F6"/>
          </w:tcPr>
          <w:p>
            <w:pPr>
              <w:spacing w:after="0"/>
            </w:pPr>
            <w:r>
              <w:rPr>
                <w:sz w:val="19"/>
              </w:rPr>
              <w:t>CRYPTO-001</w:t>
            </w:r>
          </w:p>
        </w:tc>
        <w:tc>
          <w:tcPr>
            <w:tcW w:type="dxa" w:w="4950"/>
            <w:tcMar>
              <w:top w:w="60" w:type="dxa"/>
              <w:left w:w="90" w:type="dxa"/>
              <w:bottom w:w="60" w:type="dxa"/>
              <w:right w:w="90" w:type="dxa"/>
            </w:tcMar>
            <w:shd w:val="clear" w:color="auto" w:fill="F2F7F6"/>
          </w:tcPr>
          <w:p>
            <w:pPr>
              <w:spacing w:after="0"/>
            </w:pPr>
            <w:r>
              <w:rPr>
                <w:sz w:val="19"/>
              </w:rPr>
              <w:t>Encryption settings, key management procedure</w:t>
            </w:r>
          </w:p>
        </w:tc>
      </w:tr>
    </w:tbl>
    <w:p>
      <w:pPr>
        <w:spacing w:after="40"/>
      </w:pPr>
    </w:p>
    <w:p>
      <w:r>
        <w:t>Also keep outside the app: Statement of Applicability, risk register and treatment plan, internal audit and management review records. This pack covers 12 of the 93 Annex A controls, so a full ISO readiness view needs the rest added by a framework update.</w:t>
      </w:r>
    </w:p>
    <w:p>
      <w:pPr>
        <w:pStyle w:val="Heading3"/>
      </w:pPr>
      <w:r>
        <w:t>6.2 SOC 2 (6 criteria groups)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2398"/>
            <w:shd w:val="clear" w:color="auto" w:fill="0B3B3C"/>
            <w:tcMar>
              <w:top w:w="60" w:type="dxa"/>
              <w:left w:w="90" w:type="dxa"/>
              <w:bottom w:w="60" w:type="dxa"/>
              <w:right w:w="90" w:type="dxa"/>
            </w:tcMar>
          </w:tcPr>
          <w:p>
            <w:pPr>
              <w:spacing w:after="0"/>
            </w:pPr>
            <w:r>
              <w:rPr>
                <w:b/>
                <w:color w:val="FFFFFF"/>
                <w:sz w:val="19"/>
              </w:rPr>
              <w:t>Criterion</w:t>
            </w:r>
          </w:p>
        </w:tc>
        <w:tc>
          <w:tcPr>
            <w:tcW w:type="dxa" w:w="3173"/>
            <w:shd w:val="clear" w:color="auto" w:fill="0B3B3C"/>
            <w:tcMar>
              <w:top w:w="60" w:type="dxa"/>
              <w:left w:w="90" w:type="dxa"/>
              <w:bottom w:w="60" w:type="dxa"/>
              <w:right w:w="90" w:type="dxa"/>
            </w:tcMar>
          </w:tcPr>
          <w:p>
            <w:pPr>
              <w:spacing w:after="0"/>
            </w:pPr>
            <w:r>
              <w:rPr>
                <w:b/>
                <w:color w:val="FFFFFF"/>
                <w:sz w:val="19"/>
              </w:rPr>
              <w:t>Controls</w:t>
            </w:r>
          </w:p>
        </w:tc>
        <w:tc>
          <w:tcPr>
            <w:tcW w:type="dxa" w:w="4067"/>
            <w:shd w:val="clear" w:color="auto" w:fill="0B3B3C"/>
            <w:tcMar>
              <w:top w:w="60" w:type="dxa"/>
              <w:left w:w="90" w:type="dxa"/>
              <w:bottom w:w="60" w:type="dxa"/>
              <w:right w:w="90" w:type="dxa"/>
            </w:tcMar>
          </w:tcPr>
          <w:p>
            <w:pPr>
              <w:spacing w:after="0"/>
            </w:pPr>
            <w:r>
              <w:rPr>
                <w:b/>
                <w:color w:val="FFFFFF"/>
                <w:sz w:val="19"/>
              </w:rPr>
              <w:t>Do and capture</w:t>
            </w:r>
          </w:p>
        </w:tc>
      </w:tr>
      <w:tr>
        <w:trPr>
          <w:cantSplit w:val="true"/>
        </w:trPr>
        <w:tc>
          <w:tcPr>
            <w:tcW w:type="dxa" w:w="2398"/>
            <w:tcMar>
              <w:top w:w="60" w:type="dxa"/>
              <w:left w:w="90" w:type="dxa"/>
              <w:bottom w:w="60" w:type="dxa"/>
              <w:right w:w="90" w:type="dxa"/>
            </w:tcMar>
          </w:tcPr>
          <w:p>
            <w:pPr>
              <w:spacing w:after="0"/>
            </w:pPr>
            <w:r>
              <w:rPr>
                <w:sz w:val="19"/>
              </w:rPr>
              <w:t>CC1 Control environment</w:t>
            </w:r>
          </w:p>
        </w:tc>
        <w:tc>
          <w:tcPr>
            <w:tcW w:type="dxa" w:w="3173"/>
            <w:tcMar>
              <w:top w:w="60" w:type="dxa"/>
              <w:left w:w="90" w:type="dxa"/>
              <w:bottom w:w="60" w:type="dxa"/>
              <w:right w:w="90" w:type="dxa"/>
            </w:tcMar>
          </w:tcPr>
          <w:p>
            <w:pPr>
              <w:spacing w:after="0"/>
            </w:pPr>
            <w:r>
              <w:rPr>
                <w:sz w:val="19"/>
              </w:rPr>
              <w:t>GOV-001, HR-001</w:t>
            </w:r>
          </w:p>
        </w:tc>
        <w:tc>
          <w:tcPr>
            <w:tcW w:type="dxa" w:w="4067"/>
            <w:tcMar>
              <w:top w:w="60" w:type="dxa"/>
              <w:left w:w="90" w:type="dxa"/>
              <w:bottom w:w="60" w:type="dxa"/>
              <w:right w:w="90" w:type="dxa"/>
            </w:tcMar>
          </w:tcPr>
          <w:p>
            <w:pPr>
              <w:spacing w:after="0"/>
            </w:pPr>
            <w:r>
              <w:rPr>
                <w:sz w:val="19"/>
              </w:rPr>
              <w:t>Policies, code of conduct, organisation chart, training completion</w:t>
            </w:r>
          </w:p>
        </w:tc>
      </w:tr>
      <w:tr>
        <w:trPr>
          <w:cantSplit w:val="true"/>
        </w:trPr>
        <w:tc>
          <w:tcPr>
            <w:tcW w:type="dxa" w:w="2398"/>
            <w:tcMar>
              <w:top w:w="60" w:type="dxa"/>
              <w:left w:w="90" w:type="dxa"/>
              <w:bottom w:w="60" w:type="dxa"/>
              <w:right w:w="90" w:type="dxa"/>
            </w:tcMar>
            <w:shd w:val="clear" w:color="auto" w:fill="F2F7F6"/>
          </w:tcPr>
          <w:p>
            <w:pPr>
              <w:spacing w:after="0"/>
            </w:pPr>
            <w:r>
              <w:rPr>
                <w:sz w:val="19"/>
              </w:rPr>
              <w:t>CC6 Logical and physical access</w:t>
            </w:r>
          </w:p>
        </w:tc>
        <w:tc>
          <w:tcPr>
            <w:tcW w:type="dxa" w:w="3173"/>
            <w:tcMar>
              <w:top w:w="60" w:type="dxa"/>
              <w:left w:w="90" w:type="dxa"/>
              <w:bottom w:w="60" w:type="dxa"/>
              <w:right w:w="90" w:type="dxa"/>
            </w:tcMar>
            <w:shd w:val="clear" w:color="auto" w:fill="F2F7F6"/>
          </w:tcPr>
          <w:p>
            <w:pPr>
              <w:spacing w:after="0"/>
            </w:pPr>
            <w:r>
              <w:rPr>
                <w:sz w:val="19"/>
              </w:rPr>
              <w:t>IAM-001, IAM-002, IAM-003, PHYS-001, NET-001</w:t>
            </w:r>
          </w:p>
        </w:tc>
        <w:tc>
          <w:tcPr>
            <w:tcW w:type="dxa" w:w="4067"/>
            <w:tcMar>
              <w:top w:w="60" w:type="dxa"/>
              <w:left w:w="90" w:type="dxa"/>
              <w:bottom w:w="60" w:type="dxa"/>
              <w:right w:w="90" w:type="dxa"/>
            </w:tcMar>
            <w:shd w:val="clear" w:color="auto" w:fill="F2F7F6"/>
          </w:tcPr>
          <w:p>
            <w:pPr>
              <w:spacing w:after="0"/>
            </w:pPr>
            <w:r>
              <w:rPr>
                <w:sz w:val="19"/>
              </w:rPr>
              <w:t>MFA, admin review, joiner/leaver, entry logs, public-exposure review</w:t>
            </w:r>
          </w:p>
        </w:tc>
      </w:tr>
      <w:tr>
        <w:trPr>
          <w:cantSplit w:val="true"/>
        </w:trPr>
        <w:tc>
          <w:tcPr>
            <w:tcW w:type="dxa" w:w="2398"/>
            <w:tcMar>
              <w:top w:w="60" w:type="dxa"/>
              <w:left w:w="90" w:type="dxa"/>
              <w:bottom w:w="60" w:type="dxa"/>
              <w:right w:w="90" w:type="dxa"/>
            </w:tcMar>
          </w:tcPr>
          <w:p>
            <w:pPr>
              <w:spacing w:after="0"/>
            </w:pPr>
            <w:r>
              <w:rPr>
                <w:sz w:val="19"/>
              </w:rPr>
              <w:t>CC7 System operations</w:t>
            </w:r>
          </w:p>
        </w:tc>
        <w:tc>
          <w:tcPr>
            <w:tcW w:type="dxa" w:w="3173"/>
            <w:tcMar>
              <w:top w:w="60" w:type="dxa"/>
              <w:left w:w="90" w:type="dxa"/>
              <w:bottom w:w="60" w:type="dxa"/>
              <w:right w:w="90" w:type="dxa"/>
            </w:tcMar>
          </w:tcPr>
          <w:p>
            <w:pPr>
              <w:spacing w:after="0"/>
            </w:pPr>
            <w:r>
              <w:rPr>
                <w:sz w:val="19"/>
              </w:rPr>
              <w:t>LOG-001, VULN-001</w:t>
            </w:r>
          </w:p>
        </w:tc>
        <w:tc>
          <w:tcPr>
            <w:tcW w:type="dxa" w:w="4067"/>
            <w:tcMar>
              <w:top w:w="60" w:type="dxa"/>
              <w:left w:w="90" w:type="dxa"/>
              <w:bottom w:w="60" w:type="dxa"/>
              <w:right w:w="90" w:type="dxa"/>
            </w:tcMar>
          </w:tcPr>
          <w:p>
            <w:pPr>
              <w:spacing w:after="0"/>
            </w:pPr>
            <w:r>
              <w:rPr>
                <w:sz w:val="19"/>
              </w:rPr>
              <w:t>Logging and alerts, scans and fixes, incident handling</w:t>
            </w:r>
          </w:p>
        </w:tc>
      </w:tr>
      <w:tr>
        <w:trPr>
          <w:cantSplit w:val="true"/>
        </w:trPr>
        <w:tc>
          <w:tcPr>
            <w:tcW w:type="dxa" w:w="2398"/>
            <w:tcMar>
              <w:top w:w="60" w:type="dxa"/>
              <w:left w:w="90" w:type="dxa"/>
              <w:bottom w:w="60" w:type="dxa"/>
              <w:right w:w="90" w:type="dxa"/>
            </w:tcMar>
            <w:shd w:val="clear" w:color="auto" w:fill="F2F7F6"/>
          </w:tcPr>
          <w:p>
            <w:pPr>
              <w:spacing w:after="0"/>
            </w:pPr>
            <w:r>
              <w:rPr>
                <w:sz w:val="19"/>
              </w:rPr>
              <w:t>CC9 Risk mitigation</w:t>
            </w:r>
          </w:p>
        </w:tc>
        <w:tc>
          <w:tcPr>
            <w:tcW w:type="dxa" w:w="3173"/>
            <w:tcMar>
              <w:top w:w="60" w:type="dxa"/>
              <w:left w:w="90" w:type="dxa"/>
              <w:bottom w:w="60" w:type="dxa"/>
              <w:right w:w="90" w:type="dxa"/>
            </w:tcMar>
            <w:shd w:val="clear" w:color="auto" w:fill="F2F7F6"/>
          </w:tcPr>
          <w:p>
            <w:pPr>
              <w:spacing w:after="0"/>
            </w:pPr>
            <w:r>
              <w:rPr>
                <w:sz w:val="19"/>
              </w:rPr>
              <w:t>VEND-001</w:t>
            </w:r>
          </w:p>
        </w:tc>
        <w:tc>
          <w:tcPr>
            <w:tcW w:type="dxa" w:w="4067"/>
            <w:tcMar>
              <w:top w:w="60" w:type="dxa"/>
              <w:left w:w="90" w:type="dxa"/>
              <w:bottom w:w="60" w:type="dxa"/>
              <w:right w:w="90" w:type="dxa"/>
            </w:tcMar>
            <w:shd w:val="clear" w:color="auto" w:fill="F2F7F6"/>
          </w:tcPr>
          <w:p>
            <w:pPr>
              <w:spacing w:after="0"/>
            </w:pPr>
            <w:r>
              <w:rPr>
                <w:sz w:val="19"/>
              </w:rPr>
              <w:t>Supplier assessments and contracts</w:t>
            </w:r>
          </w:p>
        </w:tc>
      </w:tr>
      <w:tr>
        <w:trPr>
          <w:cantSplit w:val="true"/>
        </w:trPr>
        <w:tc>
          <w:tcPr>
            <w:tcW w:type="dxa" w:w="2398"/>
            <w:tcMar>
              <w:top w:w="60" w:type="dxa"/>
              <w:left w:w="90" w:type="dxa"/>
              <w:bottom w:w="60" w:type="dxa"/>
              <w:right w:w="90" w:type="dxa"/>
            </w:tcMar>
          </w:tcPr>
          <w:p>
            <w:pPr>
              <w:spacing w:after="0"/>
            </w:pPr>
            <w:r>
              <w:rPr>
                <w:sz w:val="19"/>
              </w:rPr>
              <w:t>A1 Availability</w:t>
            </w:r>
          </w:p>
        </w:tc>
        <w:tc>
          <w:tcPr>
            <w:tcW w:type="dxa" w:w="3173"/>
            <w:tcMar>
              <w:top w:w="60" w:type="dxa"/>
              <w:left w:w="90" w:type="dxa"/>
              <w:bottom w:w="60" w:type="dxa"/>
              <w:right w:w="90" w:type="dxa"/>
            </w:tcMar>
          </w:tcPr>
          <w:p>
            <w:pPr>
              <w:spacing w:after="0"/>
            </w:pPr>
            <w:r>
              <w:rPr>
                <w:sz w:val="19"/>
              </w:rPr>
              <w:t>BCP-001</w:t>
            </w:r>
          </w:p>
        </w:tc>
        <w:tc>
          <w:tcPr>
            <w:tcW w:type="dxa" w:w="4067"/>
            <w:tcMar>
              <w:top w:w="60" w:type="dxa"/>
              <w:left w:w="90" w:type="dxa"/>
              <w:bottom w:w="60" w:type="dxa"/>
              <w:right w:w="90" w:type="dxa"/>
            </w:tcMar>
          </w:tcPr>
          <w:p>
            <w:pPr>
              <w:spacing w:after="0"/>
            </w:pPr>
            <w:r>
              <w:rPr>
                <w:sz w:val="19"/>
              </w:rPr>
              <w:t>Backups, restore tests, capacity or uptime reports</w:t>
            </w:r>
          </w:p>
        </w:tc>
      </w:tr>
      <w:tr>
        <w:trPr>
          <w:cantSplit w:val="true"/>
        </w:trPr>
        <w:tc>
          <w:tcPr>
            <w:tcW w:type="dxa" w:w="2398"/>
            <w:tcMar>
              <w:top w:w="60" w:type="dxa"/>
              <w:left w:w="90" w:type="dxa"/>
              <w:bottom w:w="60" w:type="dxa"/>
              <w:right w:w="90" w:type="dxa"/>
            </w:tcMar>
            <w:shd w:val="clear" w:color="auto" w:fill="F2F7F6"/>
          </w:tcPr>
          <w:p>
            <w:pPr>
              <w:spacing w:after="0"/>
            </w:pPr>
            <w:r>
              <w:rPr>
                <w:sz w:val="19"/>
              </w:rPr>
              <w:t>C1 Confidentiality</w:t>
            </w:r>
          </w:p>
        </w:tc>
        <w:tc>
          <w:tcPr>
            <w:tcW w:type="dxa" w:w="3173"/>
            <w:tcMar>
              <w:top w:w="60" w:type="dxa"/>
              <w:left w:w="90" w:type="dxa"/>
              <w:bottom w:w="60" w:type="dxa"/>
              <w:right w:w="90" w:type="dxa"/>
            </w:tcMar>
            <w:shd w:val="clear" w:color="auto" w:fill="F2F7F6"/>
          </w:tcPr>
          <w:p>
            <w:pPr>
              <w:spacing w:after="0"/>
            </w:pPr>
            <w:r>
              <w:rPr>
                <w:sz w:val="19"/>
              </w:rPr>
              <w:t>CRYPTO-001</w:t>
            </w:r>
          </w:p>
        </w:tc>
        <w:tc>
          <w:tcPr>
            <w:tcW w:type="dxa" w:w="4067"/>
            <w:tcMar>
              <w:top w:w="60" w:type="dxa"/>
              <w:left w:w="90" w:type="dxa"/>
              <w:bottom w:w="60" w:type="dxa"/>
              <w:right w:w="90" w:type="dxa"/>
            </w:tcMar>
            <w:shd w:val="clear" w:color="auto" w:fill="F2F7F6"/>
          </w:tcPr>
          <w:p>
            <w:pPr>
              <w:spacing w:after="0"/>
            </w:pPr>
            <w:r>
              <w:rPr>
                <w:sz w:val="19"/>
              </w:rPr>
              <w:t>Encryption settings, data classification, secure disposal</w:t>
            </w:r>
          </w:p>
        </w:tc>
      </w:tr>
    </w:tbl>
    <w:p>
      <w:pPr>
        <w:spacing w:after="40"/>
      </w:pPr>
    </w:p>
    <w:p>
      <w:r>
        <w:t xml:space="preserve">For a Type 2 view, evidence must cover the </w:t>
      </w:r>
      <w:r>
        <w:rPr>
          <w:b/>
        </w:rPr>
        <w:t>whole review period</w:t>
      </w:r>
      <w:r>
        <w:t xml:space="preserve"> (usually 6 to 12 months), not one date. Capture samples across the period (for example one leaver per quarter).</w:t>
      </w:r>
    </w:p>
    <w:p>
      <w:pPr>
        <w:pStyle w:val="Heading3"/>
      </w:pPr>
      <w:r>
        <w:t>6.3 NIST CSF 2.0 (9 outcome groups)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2996"/>
            <w:shd w:val="clear" w:color="auto" w:fill="0B3B3C"/>
            <w:tcMar>
              <w:top w:w="60" w:type="dxa"/>
              <w:left w:w="90" w:type="dxa"/>
              <w:bottom w:w="60" w:type="dxa"/>
              <w:right w:w="90" w:type="dxa"/>
            </w:tcMar>
          </w:tcPr>
          <w:p>
            <w:pPr>
              <w:spacing w:after="0"/>
            </w:pPr>
            <w:r>
              <w:rPr>
                <w:b/>
                <w:color w:val="FFFFFF"/>
                <w:sz w:val="19"/>
              </w:rPr>
              <w:t>Outcome</w:t>
            </w:r>
          </w:p>
        </w:tc>
        <w:tc>
          <w:tcPr>
            <w:tcW w:type="dxa" w:w="2736"/>
            <w:shd w:val="clear" w:color="auto" w:fill="0B3B3C"/>
            <w:tcMar>
              <w:top w:w="60" w:type="dxa"/>
              <w:left w:w="90" w:type="dxa"/>
              <w:bottom w:w="60" w:type="dxa"/>
              <w:right w:w="90" w:type="dxa"/>
            </w:tcMar>
          </w:tcPr>
          <w:p>
            <w:pPr>
              <w:spacing w:after="0"/>
            </w:pPr>
            <w:r>
              <w:rPr>
                <w:b/>
                <w:color w:val="FFFFFF"/>
                <w:sz w:val="19"/>
              </w:rPr>
              <w:t>Controls</w:t>
            </w:r>
          </w:p>
        </w:tc>
        <w:tc>
          <w:tcPr>
            <w:tcW w:type="dxa" w:w="3905"/>
            <w:shd w:val="clear" w:color="auto" w:fill="0B3B3C"/>
            <w:tcMar>
              <w:top w:w="60" w:type="dxa"/>
              <w:left w:w="90" w:type="dxa"/>
              <w:bottom w:w="60" w:type="dxa"/>
              <w:right w:w="90" w:type="dxa"/>
            </w:tcMar>
          </w:tcPr>
          <w:p>
            <w:pPr>
              <w:spacing w:after="0"/>
            </w:pPr>
            <w:r>
              <w:rPr>
                <w:b/>
                <w:color w:val="FFFFFF"/>
                <w:sz w:val="19"/>
              </w:rPr>
              <w:t>Do and capture</w:t>
            </w:r>
          </w:p>
        </w:tc>
      </w:tr>
      <w:tr>
        <w:trPr>
          <w:cantSplit w:val="true"/>
        </w:trPr>
        <w:tc>
          <w:tcPr>
            <w:tcW w:type="dxa" w:w="2996"/>
            <w:tcMar>
              <w:top w:w="60" w:type="dxa"/>
              <w:left w:w="90" w:type="dxa"/>
              <w:bottom w:w="60" w:type="dxa"/>
              <w:right w:w="90" w:type="dxa"/>
            </w:tcMar>
          </w:tcPr>
          <w:p>
            <w:pPr>
              <w:spacing w:after="0"/>
            </w:pPr>
            <w:r>
              <w:rPr>
                <w:sz w:val="19"/>
              </w:rPr>
              <w:t>GV.PO Policy</w:t>
            </w:r>
          </w:p>
        </w:tc>
        <w:tc>
          <w:tcPr>
            <w:tcW w:type="dxa" w:w="2736"/>
            <w:tcMar>
              <w:top w:w="60" w:type="dxa"/>
              <w:left w:w="90" w:type="dxa"/>
              <w:bottom w:w="60" w:type="dxa"/>
              <w:right w:w="90" w:type="dxa"/>
            </w:tcMar>
          </w:tcPr>
          <w:p>
            <w:pPr>
              <w:spacing w:after="0"/>
            </w:pPr>
            <w:r>
              <w:rPr>
                <w:sz w:val="19"/>
              </w:rPr>
              <w:t>GOV-001</w:t>
            </w:r>
          </w:p>
        </w:tc>
        <w:tc>
          <w:tcPr>
            <w:tcW w:type="dxa" w:w="3905"/>
            <w:tcMar>
              <w:top w:w="60" w:type="dxa"/>
              <w:left w:w="90" w:type="dxa"/>
              <w:bottom w:w="60" w:type="dxa"/>
              <w:right w:w="90" w:type="dxa"/>
            </w:tcMar>
          </w:tcPr>
          <w:p>
            <w:pPr>
              <w:spacing w:after="0"/>
            </w:pPr>
            <w:r>
              <w:rPr>
                <w:sz w:val="19"/>
              </w:rPr>
              <w:t>Approved policies</w:t>
            </w:r>
          </w:p>
        </w:tc>
      </w:tr>
      <w:tr>
        <w:trPr>
          <w:cantSplit w:val="true"/>
        </w:trPr>
        <w:tc>
          <w:tcPr>
            <w:tcW w:type="dxa" w:w="2996"/>
            <w:tcMar>
              <w:top w:w="60" w:type="dxa"/>
              <w:left w:w="90" w:type="dxa"/>
              <w:bottom w:w="60" w:type="dxa"/>
              <w:right w:w="90" w:type="dxa"/>
            </w:tcMar>
            <w:shd w:val="clear" w:color="auto" w:fill="F2F7F6"/>
          </w:tcPr>
          <w:p>
            <w:pPr>
              <w:spacing w:after="0"/>
            </w:pPr>
            <w:r>
              <w:rPr>
                <w:sz w:val="19"/>
              </w:rPr>
              <w:t>GV.SC Supply chain</w:t>
            </w:r>
          </w:p>
        </w:tc>
        <w:tc>
          <w:tcPr>
            <w:tcW w:type="dxa" w:w="2736"/>
            <w:tcMar>
              <w:top w:w="60" w:type="dxa"/>
              <w:left w:w="90" w:type="dxa"/>
              <w:bottom w:w="60" w:type="dxa"/>
              <w:right w:w="90" w:type="dxa"/>
            </w:tcMar>
            <w:shd w:val="clear" w:color="auto" w:fill="F2F7F6"/>
          </w:tcPr>
          <w:p>
            <w:pPr>
              <w:spacing w:after="0"/>
            </w:pPr>
            <w:r>
              <w:rPr>
                <w:sz w:val="19"/>
              </w:rPr>
              <w:t>VEND-001</w:t>
            </w:r>
          </w:p>
        </w:tc>
        <w:tc>
          <w:tcPr>
            <w:tcW w:type="dxa" w:w="3905"/>
            <w:tcMar>
              <w:top w:w="60" w:type="dxa"/>
              <w:left w:w="90" w:type="dxa"/>
              <w:bottom w:w="60" w:type="dxa"/>
              <w:right w:w="90" w:type="dxa"/>
            </w:tcMar>
            <w:shd w:val="clear" w:color="auto" w:fill="F2F7F6"/>
          </w:tcPr>
          <w:p>
            <w:pPr>
              <w:spacing w:after="0"/>
            </w:pPr>
            <w:r>
              <w:rPr>
                <w:sz w:val="19"/>
              </w:rPr>
              <w:t>Supplier register, assessments</w:t>
            </w:r>
          </w:p>
        </w:tc>
      </w:tr>
      <w:tr>
        <w:trPr>
          <w:cantSplit w:val="true"/>
        </w:trPr>
        <w:tc>
          <w:tcPr>
            <w:tcW w:type="dxa" w:w="2996"/>
            <w:tcMar>
              <w:top w:w="60" w:type="dxa"/>
              <w:left w:w="90" w:type="dxa"/>
              <w:bottom w:w="60" w:type="dxa"/>
              <w:right w:w="90" w:type="dxa"/>
            </w:tcMar>
          </w:tcPr>
          <w:p>
            <w:pPr>
              <w:spacing w:after="0"/>
            </w:pPr>
            <w:r>
              <w:rPr>
                <w:sz w:val="19"/>
              </w:rPr>
              <w:t>ID.RA Risk assessment</w:t>
            </w:r>
          </w:p>
        </w:tc>
        <w:tc>
          <w:tcPr>
            <w:tcW w:type="dxa" w:w="2736"/>
            <w:tcMar>
              <w:top w:w="60" w:type="dxa"/>
              <w:left w:w="90" w:type="dxa"/>
              <w:bottom w:w="60" w:type="dxa"/>
              <w:right w:w="90" w:type="dxa"/>
            </w:tcMar>
          </w:tcPr>
          <w:p>
            <w:pPr>
              <w:spacing w:after="0"/>
            </w:pPr>
            <w:r>
              <w:rPr>
                <w:sz w:val="19"/>
              </w:rPr>
              <w:t>VULN-001</w:t>
            </w:r>
          </w:p>
        </w:tc>
        <w:tc>
          <w:tcPr>
            <w:tcW w:type="dxa" w:w="3905"/>
            <w:tcMar>
              <w:top w:w="60" w:type="dxa"/>
              <w:left w:w="90" w:type="dxa"/>
              <w:bottom w:w="60" w:type="dxa"/>
              <w:right w:w="90" w:type="dxa"/>
            </w:tcMar>
          </w:tcPr>
          <w:p>
            <w:pPr>
              <w:spacing w:after="0"/>
            </w:pPr>
            <w:r>
              <w:rPr>
                <w:sz w:val="19"/>
              </w:rPr>
              <w:t>Scan results and risk register</w:t>
            </w:r>
          </w:p>
        </w:tc>
      </w:tr>
      <w:tr>
        <w:trPr>
          <w:cantSplit w:val="true"/>
        </w:trPr>
        <w:tc>
          <w:tcPr>
            <w:tcW w:type="dxa" w:w="2996"/>
            <w:tcMar>
              <w:top w:w="60" w:type="dxa"/>
              <w:left w:w="90" w:type="dxa"/>
              <w:bottom w:w="60" w:type="dxa"/>
              <w:right w:w="90" w:type="dxa"/>
            </w:tcMar>
            <w:shd w:val="clear" w:color="auto" w:fill="F2F7F6"/>
          </w:tcPr>
          <w:p>
            <w:pPr>
              <w:spacing w:after="0"/>
            </w:pPr>
            <w:r>
              <w:rPr>
                <w:sz w:val="19"/>
              </w:rPr>
              <w:t>PR.AA Identity and access</w:t>
            </w:r>
          </w:p>
        </w:tc>
        <w:tc>
          <w:tcPr>
            <w:tcW w:type="dxa" w:w="2736"/>
            <w:tcMar>
              <w:top w:w="60" w:type="dxa"/>
              <w:left w:w="90" w:type="dxa"/>
              <w:bottom w:w="60" w:type="dxa"/>
              <w:right w:w="90" w:type="dxa"/>
            </w:tcMar>
            <w:shd w:val="clear" w:color="auto" w:fill="F2F7F6"/>
          </w:tcPr>
          <w:p>
            <w:pPr>
              <w:spacing w:after="0"/>
            </w:pPr>
            <w:r>
              <w:rPr>
                <w:sz w:val="19"/>
              </w:rPr>
              <w:t>IAM-001, IAM-002, IAM-003</w:t>
            </w:r>
          </w:p>
        </w:tc>
        <w:tc>
          <w:tcPr>
            <w:tcW w:type="dxa" w:w="3905"/>
            <w:tcMar>
              <w:top w:w="60" w:type="dxa"/>
              <w:left w:w="90" w:type="dxa"/>
              <w:bottom w:w="60" w:type="dxa"/>
              <w:right w:w="90" w:type="dxa"/>
            </w:tcMar>
            <w:shd w:val="clear" w:color="auto" w:fill="F2F7F6"/>
          </w:tcPr>
          <w:p>
            <w:pPr>
              <w:spacing w:after="0"/>
            </w:pPr>
            <w:r>
              <w:rPr>
                <w:sz w:val="19"/>
              </w:rPr>
              <w:t>MFA, admin review, lifecycle</w:t>
            </w:r>
          </w:p>
        </w:tc>
      </w:tr>
      <w:tr>
        <w:trPr>
          <w:cantSplit w:val="true"/>
        </w:trPr>
        <w:tc>
          <w:tcPr>
            <w:tcW w:type="dxa" w:w="2996"/>
            <w:tcMar>
              <w:top w:w="60" w:type="dxa"/>
              <w:left w:w="90" w:type="dxa"/>
              <w:bottom w:w="60" w:type="dxa"/>
              <w:right w:w="90" w:type="dxa"/>
            </w:tcMar>
          </w:tcPr>
          <w:p>
            <w:pPr>
              <w:spacing w:after="0"/>
            </w:pPr>
            <w:r>
              <w:rPr>
                <w:sz w:val="19"/>
              </w:rPr>
              <w:t>PR.AT Awareness and training</w:t>
            </w:r>
          </w:p>
        </w:tc>
        <w:tc>
          <w:tcPr>
            <w:tcW w:type="dxa" w:w="2736"/>
            <w:tcMar>
              <w:top w:w="60" w:type="dxa"/>
              <w:left w:w="90" w:type="dxa"/>
              <w:bottom w:w="60" w:type="dxa"/>
              <w:right w:w="90" w:type="dxa"/>
            </w:tcMar>
          </w:tcPr>
          <w:p>
            <w:pPr>
              <w:spacing w:after="0"/>
            </w:pPr>
            <w:r>
              <w:rPr>
                <w:sz w:val="19"/>
              </w:rPr>
              <w:t>HR-001</w:t>
            </w:r>
          </w:p>
        </w:tc>
        <w:tc>
          <w:tcPr>
            <w:tcW w:type="dxa" w:w="3905"/>
            <w:tcMar>
              <w:top w:w="60" w:type="dxa"/>
              <w:left w:w="90" w:type="dxa"/>
              <w:bottom w:w="60" w:type="dxa"/>
              <w:right w:w="90" w:type="dxa"/>
            </w:tcMar>
          </w:tcPr>
          <w:p>
            <w:pPr>
              <w:spacing w:after="0"/>
            </w:pPr>
            <w:r>
              <w:rPr>
                <w:sz w:val="19"/>
              </w:rPr>
              <w:t>Completion export</w:t>
            </w:r>
          </w:p>
        </w:tc>
      </w:tr>
      <w:tr>
        <w:trPr>
          <w:cantSplit w:val="true"/>
        </w:trPr>
        <w:tc>
          <w:tcPr>
            <w:tcW w:type="dxa" w:w="2996"/>
            <w:tcMar>
              <w:top w:w="60" w:type="dxa"/>
              <w:left w:w="90" w:type="dxa"/>
              <w:bottom w:w="60" w:type="dxa"/>
              <w:right w:w="90" w:type="dxa"/>
            </w:tcMar>
            <w:shd w:val="clear" w:color="auto" w:fill="F2F7F6"/>
          </w:tcPr>
          <w:p>
            <w:pPr>
              <w:spacing w:after="0"/>
            </w:pPr>
            <w:r>
              <w:rPr>
                <w:sz w:val="19"/>
              </w:rPr>
              <w:t>PR.DS Data security</w:t>
            </w:r>
          </w:p>
        </w:tc>
        <w:tc>
          <w:tcPr>
            <w:tcW w:type="dxa" w:w="2736"/>
            <w:tcMar>
              <w:top w:w="60" w:type="dxa"/>
              <w:left w:w="90" w:type="dxa"/>
              <w:bottom w:w="60" w:type="dxa"/>
              <w:right w:w="90" w:type="dxa"/>
            </w:tcMar>
            <w:shd w:val="clear" w:color="auto" w:fill="F2F7F6"/>
          </w:tcPr>
          <w:p>
            <w:pPr>
              <w:spacing w:after="0"/>
            </w:pPr>
            <w:r>
              <w:rPr>
                <w:sz w:val="19"/>
              </w:rPr>
              <w:t>CRYPTO-001</w:t>
            </w:r>
          </w:p>
        </w:tc>
        <w:tc>
          <w:tcPr>
            <w:tcW w:type="dxa" w:w="3905"/>
            <w:tcMar>
              <w:top w:w="60" w:type="dxa"/>
              <w:left w:w="90" w:type="dxa"/>
              <w:bottom w:w="60" w:type="dxa"/>
              <w:right w:w="90" w:type="dxa"/>
            </w:tcMar>
            <w:shd w:val="clear" w:color="auto" w:fill="F2F7F6"/>
          </w:tcPr>
          <w:p>
            <w:pPr>
              <w:spacing w:after="0"/>
            </w:pPr>
            <w:r>
              <w:rPr>
                <w:sz w:val="19"/>
              </w:rPr>
              <w:t>Encryption settings</w:t>
            </w:r>
          </w:p>
        </w:tc>
      </w:tr>
      <w:tr>
        <w:trPr>
          <w:cantSplit w:val="true"/>
        </w:trPr>
        <w:tc>
          <w:tcPr>
            <w:tcW w:type="dxa" w:w="2996"/>
            <w:tcMar>
              <w:top w:w="60" w:type="dxa"/>
              <w:left w:w="90" w:type="dxa"/>
              <w:bottom w:w="60" w:type="dxa"/>
              <w:right w:w="90" w:type="dxa"/>
            </w:tcMar>
          </w:tcPr>
          <w:p>
            <w:pPr>
              <w:spacing w:after="0"/>
            </w:pPr>
            <w:r>
              <w:rPr>
                <w:sz w:val="19"/>
              </w:rPr>
              <w:t>PR.PS Platform security</w:t>
            </w:r>
          </w:p>
        </w:tc>
        <w:tc>
          <w:tcPr>
            <w:tcW w:type="dxa" w:w="2736"/>
            <w:tcMar>
              <w:top w:w="60" w:type="dxa"/>
              <w:left w:w="90" w:type="dxa"/>
              <w:bottom w:w="60" w:type="dxa"/>
              <w:right w:w="90" w:type="dxa"/>
            </w:tcMar>
          </w:tcPr>
          <w:p>
            <w:pPr>
              <w:spacing w:after="0"/>
            </w:pPr>
            <w:r>
              <w:rPr>
                <w:sz w:val="19"/>
              </w:rPr>
              <w:t>NET-001, PHYS-001</w:t>
            </w:r>
          </w:p>
        </w:tc>
        <w:tc>
          <w:tcPr>
            <w:tcW w:type="dxa" w:w="3905"/>
            <w:tcMar>
              <w:top w:w="60" w:type="dxa"/>
              <w:left w:w="90" w:type="dxa"/>
              <w:bottom w:w="60" w:type="dxa"/>
              <w:right w:w="90" w:type="dxa"/>
            </w:tcMar>
          </w:tcPr>
          <w:p>
            <w:pPr>
              <w:spacing w:after="0"/>
            </w:pPr>
            <w:r>
              <w:rPr>
                <w:sz w:val="19"/>
              </w:rPr>
              <w:t>Exposure review, physical controls</w:t>
            </w:r>
          </w:p>
        </w:tc>
      </w:tr>
      <w:tr>
        <w:trPr>
          <w:cantSplit w:val="true"/>
        </w:trPr>
        <w:tc>
          <w:tcPr>
            <w:tcW w:type="dxa" w:w="2996"/>
            <w:tcMar>
              <w:top w:w="60" w:type="dxa"/>
              <w:left w:w="90" w:type="dxa"/>
              <w:bottom w:w="60" w:type="dxa"/>
              <w:right w:w="90" w:type="dxa"/>
            </w:tcMar>
            <w:shd w:val="clear" w:color="auto" w:fill="F2F7F6"/>
          </w:tcPr>
          <w:p>
            <w:pPr>
              <w:spacing w:after="0"/>
            </w:pPr>
            <w:r>
              <w:rPr>
                <w:sz w:val="19"/>
              </w:rPr>
              <w:t>DE.CM Continuous monitoring</w:t>
            </w:r>
          </w:p>
        </w:tc>
        <w:tc>
          <w:tcPr>
            <w:tcW w:type="dxa" w:w="2736"/>
            <w:tcMar>
              <w:top w:w="60" w:type="dxa"/>
              <w:left w:w="90" w:type="dxa"/>
              <w:bottom w:w="60" w:type="dxa"/>
              <w:right w:w="90" w:type="dxa"/>
            </w:tcMar>
            <w:shd w:val="clear" w:color="auto" w:fill="F2F7F6"/>
          </w:tcPr>
          <w:p>
            <w:pPr>
              <w:spacing w:after="0"/>
            </w:pPr>
            <w:r>
              <w:rPr>
                <w:sz w:val="19"/>
              </w:rPr>
              <w:t>LOG-001</w:t>
            </w:r>
          </w:p>
        </w:tc>
        <w:tc>
          <w:tcPr>
            <w:tcW w:type="dxa" w:w="3905"/>
            <w:tcMar>
              <w:top w:w="60" w:type="dxa"/>
              <w:left w:w="90" w:type="dxa"/>
              <w:bottom w:w="60" w:type="dxa"/>
              <w:right w:w="90" w:type="dxa"/>
            </w:tcMar>
            <w:shd w:val="clear" w:color="auto" w:fill="F2F7F6"/>
          </w:tcPr>
          <w:p>
            <w:pPr>
              <w:spacing w:after="0"/>
            </w:pPr>
            <w:r>
              <w:rPr>
                <w:sz w:val="19"/>
              </w:rPr>
              <w:t>Logging and alert follow-up</w:t>
            </w:r>
          </w:p>
        </w:tc>
      </w:tr>
      <w:tr>
        <w:trPr>
          <w:cantSplit w:val="true"/>
        </w:trPr>
        <w:tc>
          <w:tcPr>
            <w:tcW w:type="dxa" w:w="2996"/>
            <w:tcMar>
              <w:top w:w="60" w:type="dxa"/>
              <w:left w:w="90" w:type="dxa"/>
              <w:bottom w:w="60" w:type="dxa"/>
              <w:right w:w="90" w:type="dxa"/>
            </w:tcMar>
          </w:tcPr>
          <w:p>
            <w:pPr>
              <w:spacing w:after="0"/>
            </w:pPr>
            <w:r>
              <w:rPr>
                <w:sz w:val="19"/>
              </w:rPr>
              <w:t>RC.RP Recovery plan</w:t>
            </w:r>
          </w:p>
        </w:tc>
        <w:tc>
          <w:tcPr>
            <w:tcW w:type="dxa" w:w="2736"/>
            <w:tcMar>
              <w:top w:w="60" w:type="dxa"/>
              <w:left w:w="90" w:type="dxa"/>
              <w:bottom w:w="60" w:type="dxa"/>
              <w:right w:w="90" w:type="dxa"/>
            </w:tcMar>
          </w:tcPr>
          <w:p>
            <w:pPr>
              <w:spacing w:after="0"/>
            </w:pPr>
            <w:r>
              <w:rPr>
                <w:sz w:val="19"/>
              </w:rPr>
              <w:t>BCP-001</w:t>
            </w:r>
          </w:p>
        </w:tc>
        <w:tc>
          <w:tcPr>
            <w:tcW w:type="dxa" w:w="3905"/>
            <w:tcMar>
              <w:top w:w="60" w:type="dxa"/>
              <w:left w:w="90" w:type="dxa"/>
              <w:bottom w:w="60" w:type="dxa"/>
              <w:right w:w="90" w:type="dxa"/>
            </w:tcMar>
          </w:tcPr>
          <w:p>
            <w:pPr>
              <w:spacing w:after="0"/>
            </w:pPr>
            <w:r>
              <w:rPr>
                <w:sz w:val="19"/>
              </w:rPr>
              <w:t>Backup and restore tests, recovery plan</w:t>
            </w:r>
          </w:p>
        </w:tc>
      </w:tr>
    </w:tbl>
    <w:p>
      <w:pPr>
        <w:spacing w:after="40"/>
      </w:pPr>
    </w:p>
    <w:p>
      <w:r>
        <w:t xml:space="preserve">Record a </w:t>
      </w:r>
      <w:r>
        <w:rPr>
          <w:b/>
        </w:rPr>
        <w:t>target profile</w:t>
      </w:r>
      <w:r>
        <w:t xml:space="preserve"> (what level you aim for) and compare it with the result. Use "partly met" honestly, because CSF is about maturity, not pass or fail.</w:t>
      </w:r>
    </w:p>
    <w:p>
      <w:pPr>
        <w:pStyle w:val="Heading3"/>
      </w:pPr>
      <w:r>
        <w:t>6.4 CIS Controls 8.1 (8 safeguards groups)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3491"/>
            <w:shd w:val="clear" w:color="auto" w:fill="0B3B3C"/>
            <w:tcMar>
              <w:top w:w="60" w:type="dxa"/>
              <w:left w:w="90" w:type="dxa"/>
              <w:bottom w:w="60" w:type="dxa"/>
              <w:right w:w="90" w:type="dxa"/>
            </w:tcMar>
          </w:tcPr>
          <w:p>
            <w:pPr>
              <w:spacing w:after="0"/>
            </w:pPr>
            <w:r>
              <w:rPr>
                <w:b/>
                <w:color w:val="FFFFFF"/>
                <w:sz w:val="19"/>
              </w:rPr>
              <w:t>Control</w:t>
            </w:r>
          </w:p>
        </w:tc>
        <w:tc>
          <w:tcPr>
            <w:tcW w:type="dxa" w:w="1752"/>
            <w:shd w:val="clear" w:color="auto" w:fill="0B3B3C"/>
            <w:tcMar>
              <w:top w:w="60" w:type="dxa"/>
              <w:left w:w="90" w:type="dxa"/>
              <w:bottom w:w="60" w:type="dxa"/>
              <w:right w:w="90" w:type="dxa"/>
            </w:tcMar>
          </w:tcPr>
          <w:p>
            <w:pPr>
              <w:spacing w:after="0"/>
            </w:pPr>
            <w:r>
              <w:rPr>
                <w:b/>
                <w:color w:val="FFFFFF"/>
                <w:sz w:val="19"/>
              </w:rPr>
              <w:t>Maps to</w:t>
            </w:r>
          </w:p>
        </w:tc>
        <w:tc>
          <w:tcPr>
            <w:tcW w:type="dxa" w:w="4395"/>
            <w:shd w:val="clear" w:color="auto" w:fill="0B3B3C"/>
            <w:tcMar>
              <w:top w:w="60" w:type="dxa"/>
              <w:left w:w="90" w:type="dxa"/>
              <w:bottom w:w="60" w:type="dxa"/>
              <w:right w:w="90" w:type="dxa"/>
            </w:tcMar>
          </w:tcPr>
          <w:p>
            <w:pPr>
              <w:spacing w:after="0"/>
            </w:pPr>
            <w:r>
              <w:rPr>
                <w:b/>
                <w:color w:val="FFFFFF"/>
                <w:sz w:val="19"/>
              </w:rPr>
              <w:t>Do and capture</w:t>
            </w:r>
          </w:p>
        </w:tc>
      </w:tr>
      <w:tr>
        <w:trPr>
          <w:cantSplit w:val="true"/>
        </w:trPr>
        <w:tc>
          <w:tcPr>
            <w:tcW w:type="dxa" w:w="3491"/>
            <w:tcMar>
              <w:top w:w="60" w:type="dxa"/>
              <w:left w:w="90" w:type="dxa"/>
              <w:bottom w:w="60" w:type="dxa"/>
              <w:right w:w="90" w:type="dxa"/>
            </w:tcMar>
          </w:tcPr>
          <w:p>
            <w:pPr>
              <w:spacing w:after="0"/>
            </w:pPr>
            <w:r>
              <w:rPr>
                <w:sz w:val="19"/>
              </w:rPr>
              <w:t>CIS-3 Data protection</w:t>
            </w:r>
          </w:p>
        </w:tc>
        <w:tc>
          <w:tcPr>
            <w:tcW w:type="dxa" w:w="1752"/>
            <w:tcMar>
              <w:top w:w="60" w:type="dxa"/>
              <w:left w:w="90" w:type="dxa"/>
              <w:bottom w:w="60" w:type="dxa"/>
              <w:right w:w="90" w:type="dxa"/>
            </w:tcMar>
          </w:tcPr>
          <w:p>
            <w:pPr>
              <w:spacing w:after="0"/>
            </w:pPr>
            <w:r>
              <w:rPr>
                <w:sz w:val="19"/>
              </w:rPr>
              <w:t>CRYPTO-001, NET-001</w:t>
            </w:r>
          </w:p>
        </w:tc>
        <w:tc>
          <w:tcPr>
            <w:tcW w:type="dxa" w:w="4395"/>
            <w:tcMar>
              <w:top w:w="60" w:type="dxa"/>
              <w:left w:w="90" w:type="dxa"/>
              <w:bottom w:w="60" w:type="dxa"/>
              <w:right w:w="90" w:type="dxa"/>
            </w:tcMar>
          </w:tcPr>
          <w:p>
            <w:pPr>
              <w:spacing w:after="0"/>
            </w:pPr>
            <w:r>
              <w:rPr>
                <w:sz w:val="19"/>
              </w:rPr>
              <w:t>Encryption settings, public-access review, data classification</w:t>
            </w:r>
          </w:p>
        </w:tc>
      </w:tr>
      <w:tr>
        <w:trPr>
          <w:cantSplit w:val="true"/>
        </w:trPr>
        <w:tc>
          <w:tcPr>
            <w:tcW w:type="dxa" w:w="3491"/>
            <w:tcMar>
              <w:top w:w="60" w:type="dxa"/>
              <w:left w:w="90" w:type="dxa"/>
              <w:bottom w:w="60" w:type="dxa"/>
              <w:right w:w="90" w:type="dxa"/>
            </w:tcMar>
            <w:shd w:val="clear" w:color="auto" w:fill="F2F7F6"/>
          </w:tcPr>
          <w:p>
            <w:pPr>
              <w:spacing w:after="0"/>
            </w:pPr>
            <w:r>
              <w:rPr>
                <w:sz w:val="19"/>
              </w:rPr>
              <w:t>CIS-5 Account management</w:t>
            </w:r>
          </w:p>
        </w:tc>
        <w:tc>
          <w:tcPr>
            <w:tcW w:type="dxa" w:w="1752"/>
            <w:tcMar>
              <w:top w:w="60" w:type="dxa"/>
              <w:left w:w="90" w:type="dxa"/>
              <w:bottom w:w="60" w:type="dxa"/>
              <w:right w:w="90" w:type="dxa"/>
            </w:tcMar>
            <w:shd w:val="clear" w:color="auto" w:fill="F2F7F6"/>
          </w:tcPr>
          <w:p>
            <w:pPr>
              <w:spacing w:after="0"/>
            </w:pPr>
            <w:r>
              <w:rPr>
                <w:sz w:val="19"/>
              </w:rPr>
              <w:t>IAM-002, IAM-003</w:t>
            </w:r>
          </w:p>
        </w:tc>
        <w:tc>
          <w:tcPr>
            <w:tcW w:type="dxa" w:w="4395"/>
            <w:tcMar>
              <w:top w:w="60" w:type="dxa"/>
              <w:left w:w="90" w:type="dxa"/>
              <w:bottom w:w="60" w:type="dxa"/>
              <w:right w:w="90" w:type="dxa"/>
            </w:tcMar>
            <w:shd w:val="clear" w:color="auto" w:fill="F2F7F6"/>
          </w:tcPr>
          <w:p>
            <w:pPr>
              <w:spacing w:after="0"/>
            </w:pPr>
            <w:r>
              <w:rPr>
                <w:sz w:val="19"/>
              </w:rPr>
              <w:t>Account inventory, inactive accounts, admin accounts</w:t>
            </w:r>
          </w:p>
        </w:tc>
      </w:tr>
      <w:tr>
        <w:trPr>
          <w:cantSplit w:val="true"/>
        </w:trPr>
        <w:tc>
          <w:tcPr>
            <w:tcW w:type="dxa" w:w="3491"/>
            <w:tcMar>
              <w:top w:w="60" w:type="dxa"/>
              <w:left w:w="90" w:type="dxa"/>
              <w:bottom w:w="60" w:type="dxa"/>
              <w:right w:w="90" w:type="dxa"/>
            </w:tcMar>
          </w:tcPr>
          <w:p>
            <w:pPr>
              <w:spacing w:after="0"/>
            </w:pPr>
            <w:r>
              <w:rPr>
                <w:sz w:val="19"/>
              </w:rPr>
              <w:t>CIS-6 Access control management</w:t>
            </w:r>
          </w:p>
        </w:tc>
        <w:tc>
          <w:tcPr>
            <w:tcW w:type="dxa" w:w="1752"/>
            <w:tcMar>
              <w:top w:w="60" w:type="dxa"/>
              <w:left w:w="90" w:type="dxa"/>
              <w:bottom w:w="60" w:type="dxa"/>
              <w:right w:w="90" w:type="dxa"/>
            </w:tcMar>
          </w:tcPr>
          <w:p>
            <w:pPr>
              <w:spacing w:after="0"/>
            </w:pPr>
            <w:r>
              <w:rPr>
                <w:sz w:val="19"/>
              </w:rPr>
              <w:t>IAM-001</w:t>
            </w:r>
          </w:p>
        </w:tc>
        <w:tc>
          <w:tcPr>
            <w:tcW w:type="dxa" w:w="4395"/>
            <w:tcMar>
              <w:top w:w="60" w:type="dxa"/>
              <w:left w:w="90" w:type="dxa"/>
              <w:bottom w:w="60" w:type="dxa"/>
              <w:right w:w="90" w:type="dxa"/>
            </w:tcMar>
          </w:tcPr>
          <w:p>
            <w:pPr>
              <w:spacing w:after="0"/>
            </w:pPr>
            <w:r>
              <w:rPr>
                <w:sz w:val="19"/>
              </w:rPr>
              <w:t>MFA coverage, access grants process</w:t>
            </w:r>
          </w:p>
        </w:tc>
      </w:tr>
      <w:tr>
        <w:trPr>
          <w:cantSplit w:val="true"/>
        </w:trPr>
        <w:tc>
          <w:tcPr>
            <w:tcW w:type="dxa" w:w="3491"/>
            <w:tcMar>
              <w:top w:w="60" w:type="dxa"/>
              <w:left w:w="90" w:type="dxa"/>
              <w:bottom w:w="60" w:type="dxa"/>
              <w:right w:w="90" w:type="dxa"/>
            </w:tcMar>
            <w:shd w:val="clear" w:color="auto" w:fill="F2F7F6"/>
          </w:tcPr>
          <w:p>
            <w:pPr>
              <w:spacing w:after="0"/>
            </w:pPr>
            <w:r>
              <w:rPr>
                <w:sz w:val="19"/>
              </w:rPr>
              <w:t>CIS-7 Continuous vulnerability management</w:t>
            </w:r>
          </w:p>
        </w:tc>
        <w:tc>
          <w:tcPr>
            <w:tcW w:type="dxa" w:w="1752"/>
            <w:tcMar>
              <w:top w:w="60" w:type="dxa"/>
              <w:left w:w="90" w:type="dxa"/>
              <w:bottom w:w="60" w:type="dxa"/>
              <w:right w:w="90" w:type="dxa"/>
            </w:tcMar>
            <w:shd w:val="clear" w:color="auto" w:fill="F2F7F6"/>
          </w:tcPr>
          <w:p>
            <w:pPr>
              <w:spacing w:after="0"/>
            </w:pPr>
            <w:r>
              <w:rPr>
                <w:sz w:val="19"/>
              </w:rPr>
              <w:t>VULN-001</w:t>
            </w:r>
          </w:p>
        </w:tc>
        <w:tc>
          <w:tcPr>
            <w:tcW w:type="dxa" w:w="4395"/>
            <w:tcMar>
              <w:top w:w="60" w:type="dxa"/>
              <w:left w:w="90" w:type="dxa"/>
              <w:bottom w:w="60" w:type="dxa"/>
              <w:right w:w="90" w:type="dxa"/>
            </w:tcMar>
            <w:shd w:val="clear" w:color="auto" w:fill="F2F7F6"/>
          </w:tcPr>
          <w:p>
            <w:pPr>
              <w:spacing w:after="0"/>
            </w:pPr>
            <w:r>
              <w:rPr>
                <w:sz w:val="19"/>
              </w:rPr>
              <w:t>Weekly or monthly scans, fix tracker</w:t>
            </w:r>
          </w:p>
        </w:tc>
      </w:tr>
      <w:tr>
        <w:trPr>
          <w:cantSplit w:val="true"/>
        </w:trPr>
        <w:tc>
          <w:tcPr>
            <w:tcW w:type="dxa" w:w="3491"/>
            <w:tcMar>
              <w:top w:w="60" w:type="dxa"/>
              <w:left w:w="90" w:type="dxa"/>
              <w:bottom w:w="60" w:type="dxa"/>
              <w:right w:w="90" w:type="dxa"/>
            </w:tcMar>
          </w:tcPr>
          <w:p>
            <w:pPr>
              <w:spacing w:after="0"/>
            </w:pPr>
            <w:r>
              <w:rPr>
                <w:sz w:val="19"/>
              </w:rPr>
              <w:t>CIS-8 Audit log management</w:t>
            </w:r>
          </w:p>
        </w:tc>
        <w:tc>
          <w:tcPr>
            <w:tcW w:type="dxa" w:w="1752"/>
            <w:tcMar>
              <w:top w:w="60" w:type="dxa"/>
              <w:left w:w="90" w:type="dxa"/>
              <w:bottom w:w="60" w:type="dxa"/>
              <w:right w:w="90" w:type="dxa"/>
            </w:tcMar>
          </w:tcPr>
          <w:p>
            <w:pPr>
              <w:spacing w:after="0"/>
            </w:pPr>
            <w:r>
              <w:rPr>
                <w:sz w:val="19"/>
              </w:rPr>
              <w:t>LOG-001</w:t>
            </w:r>
          </w:p>
        </w:tc>
        <w:tc>
          <w:tcPr>
            <w:tcW w:type="dxa" w:w="4395"/>
            <w:tcMar>
              <w:top w:w="60" w:type="dxa"/>
              <w:left w:w="90" w:type="dxa"/>
              <w:bottom w:w="60" w:type="dxa"/>
              <w:right w:w="90" w:type="dxa"/>
            </w:tcMar>
          </w:tcPr>
          <w:p>
            <w:pPr>
              <w:spacing w:after="0"/>
            </w:pPr>
            <w:r>
              <w:rPr>
                <w:sz w:val="19"/>
              </w:rPr>
              <w:t>Log sources, retention, reviews</w:t>
            </w:r>
          </w:p>
        </w:tc>
      </w:tr>
      <w:tr>
        <w:trPr>
          <w:cantSplit w:val="true"/>
        </w:trPr>
        <w:tc>
          <w:tcPr>
            <w:tcW w:type="dxa" w:w="3491"/>
            <w:tcMar>
              <w:top w:w="60" w:type="dxa"/>
              <w:left w:w="90" w:type="dxa"/>
              <w:bottom w:w="60" w:type="dxa"/>
              <w:right w:w="90" w:type="dxa"/>
            </w:tcMar>
            <w:shd w:val="clear" w:color="auto" w:fill="F2F7F6"/>
          </w:tcPr>
          <w:p>
            <w:pPr>
              <w:spacing w:after="0"/>
            </w:pPr>
            <w:r>
              <w:rPr>
                <w:sz w:val="19"/>
              </w:rPr>
              <w:t>CIS-11 Data recovery</w:t>
            </w:r>
          </w:p>
        </w:tc>
        <w:tc>
          <w:tcPr>
            <w:tcW w:type="dxa" w:w="1752"/>
            <w:tcMar>
              <w:top w:w="60" w:type="dxa"/>
              <w:left w:w="90" w:type="dxa"/>
              <w:bottom w:w="60" w:type="dxa"/>
              <w:right w:w="90" w:type="dxa"/>
            </w:tcMar>
            <w:shd w:val="clear" w:color="auto" w:fill="F2F7F6"/>
          </w:tcPr>
          <w:p>
            <w:pPr>
              <w:spacing w:after="0"/>
            </w:pPr>
            <w:r>
              <w:rPr>
                <w:sz w:val="19"/>
              </w:rPr>
              <w:t>BCP-001</w:t>
            </w:r>
          </w:p>
        </w:tc>
        <w:tc>
          <w:tcPr>
            <w:tcW w:type="dxa" w:w="4395"/>
            <w:tcMar>
              <w:top w:w="60" w:type="dxa"/>
              <w:left w:w="90" w:type="dxa"/>
              <w:bottom w:w="60" w:type="dxa"/>
              <w:right w:w="90" w:type="dxa"/>
            </w:tcMar>
            <w:shd w:val="clear" w:color="auto" w:fill="F2F7F6"/>
          </w:tcPr>
          <w:p>
            <w:pPr>
              <w:spacing w:after="0"/>
            </w:pPr>
            <w:r>
              <w:rPr>
                <w:sz w:val="19"/>
              </w:rPr>
              <w:t>Backup jobs, restore tests</w:t>
            </w:r>
          </w:p>
        </w:tc>
      </w:tr>
      <w:tr>
        <w:trPr>
          <w:cantSplit w:val="true"/>
        </w:trPr>
        <w:tc>
          <w:tcPr>
            <w:tcW w:type="dxa" w:w="3491"/>
            <w:tcMar>
              <w:top w:w="60" w:type="dxa"/>
              <w:left w:w="90" w:type="dxa"/>
              <w:bottom w:w="60" w:type="dxa"/>
              <w:right w:w="90" w:type="dxa"/>
            </w:tcMar>
          </w:tcPr>
          <w:p>
            <w:pPr>
              <w:spacing w:after="0"/>
            </w:pPr>
            <w:r>
              <w:rPr>
                <w:sz w:val="19"/>
              </w:rPr>
              <w:t>CIS-14 Security awareness and skills training</w:t>
            </w:r>
          </w:p>
        </w:tc>
        <w:tc>
          <w:tcPr>
            <w:tcW w:type="dxa" w:w="1752"/>
            <w:tcMar>
              <w:top w:w="60" w:type="dxa"/>
              <w:left w:w="90" w:type="dxa"/>
              <w:bottom w:w="60" w:type="dxa"/>
              <w:right w:w="90" w:type="dxa"/>
            </w:tcMar>
          </w:tcPr>
          <w:p>
            <w:pPr>
              <w:spacing w:after="0"/>
            </w:pPr>
            <w:r>
              <w:rPr>
                <w:sz w:val="19"/>
              </w:rPr>
              <w:t>HR-001</w:t>
            </w:r>
          </w:p>
        </w:tc>
        <w:tc>
          <w:tcPr>
            <w:tcW w:type="dxa" w:w="4395"/>
            <w:tcMar>
              <w:top w:w="60" w:type="dxa"/>
              <w:left w:w="90" w:type="dxa"/>
              <w:bottom w:w="60" w:type="dxa"/>
              <w:right w:w="90" w:type="dxa"/>
            </w:tcMar>
          </w:tcPr>
          <w:p>
            <w:pPr>
              <w:spacing w:after="0"/>
            </w:pPr>
            <w:r>
              <w:rPr>
                <w:sz w:val="19"/>
              </w:rPr>
              <w:t>Training completion</w:t>
            </w:r>
          </w:p>
        </w:tc>
      </w:tr>
      <w:tr>
        <w:trPr>
          <w:cantSplit w:val="true"/>
        </w:trPr>
        <w:tc>
          <w:tcPr>
            <w:tcW w:type="dxa" w:w="3491"/>
            <w:tcMar>
              <w:top w:w="60" w:type="dxa"/>
              <w:left w:w="90" w:type="dxa"/>
              <w:bottom w:w="60" w:type="dxa"/>
              <w:right w:w="90" w:type="dxa"/>
            </w:tcMar>
            <w:shd w:val="clear" w:color="auto" w:fill="F2F7F6"/>
          </w:tcPr>
          <w:p>
            <w:pPr>
              <w:spacing w:after="0"/>
            </w:pPr>
            <w:r>
              <w:rPr>
                <w:sz w:val="19"/>
              </w:rPr>
              <w:t>CIS-15 Service provider management</w:t>
            </w:r>
          </w:p>
        </w:tc>
        <w:tc>
          <w:tcPr>
            <w:tcW w:type="dxa" w:w="1752"/>
            <w:tcMar>
              <w:top w:w="60" w:type="dxa"/>
              <w:left w:w="90" w:type="dxa"/>
              <w:bottom w:w="60" w:type="dxa"/>
              <w:right w:w="90" w:type="dxa"/>
            </w:tcMar>
            <w:shd w:val="clear" w:color="auto" w:fill="F2F7F6"/>
          </w:tcPr>
          <w:p>
            <w:pPr>
              <w:spacing w:after="0"/>
            </w:pPr>
            <w:r>
              <w:rPr>
                <w:sz w:val="19"/>
              </w:rPr>
              <w:t>VEND-001</w:t>
            </w:r>
          </w:p>
        </w:tc>
        <w:tc>
          <w:tcPr>
            <w:tcW w:type="dxa" w:w="4395"/>
            <w:tcMar>
              <w:top w:w="60" w:type="dxa"/>
              <w:left w:w="90" w:type="dxa"/>
              <w:bottom w:w="60" w:type="dxa"/>
              <w:right w:w="90" w:type="dxa"/>
            </w:tcMar>
            <w:shd w:val="clear" w:color="auto" w:fill="F2F7F6"/>
          </w:tcPr>
          <w:p>
            <w:pPr>
              <w:spacing w:after="0"/>
            </w:pPr>
            <w:r>
              <w:rPr>
                <w:sz w:val="19"/>
              </w:rPr>
              <w:t>Supplier inventory and reviews</w:t>
            </w:r>
          </w:p>
        </w:tc>
      </w:tr>
    </w:tbl>
    <w:p>
      <w:pPr>
        <w:spacing w:after="40"/>
      </w:pPr>
    </w:p>
    <w:p>
      <w:r>
        <w:t xml:space="preserve">Choose the </w:t>
      </w:r>
      <w:r>
        <w:rPr>
          <w:b/>
        </w:rPr>
        <w:t>implementation group</w:t>
      </w:r>
      <w:r>
        <w:t xml:space="preserve"> (IG1 basic, IG2, IG3) and state it in the scope statement. Evidence expectations grow with the group.</w:t>
      </w:r>
    </w:p>
    <w:p>
      <w:pPr>
        <w:pStyle w:val="Heading3"/>
      </w:pPr>
      <w:r>
        <w:t>6.5 DPDP Act and Rules, India (14 requirements)</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2596"/>
            <w:shd w:val="clear" w:color="auto" w:fill="0B3B3C"/>
            <w:tcMar>
              <w:top w:w="60" w:type="dxa"/>
              <w:left w:w="90" w:type="dxa"/>
              <w:bottom w:w="60" w:type="dxa"/>
              <w:right w:w="90" w:type="dxa"/>
            </w:tcMar>
          </w:tcPr>
          <w:p>
            <w:pPr>
              <w:spacing w:after="0"/>
            </w:pPr>
            <w:r>
              <w:rPr>
                <w:b/>
                <w:color w:val="FFFFFF"/>
                <w:sz w:val="19"/>
              </w:rPr>
              <w:t>Requirement</w:t>
            </w:r>
          </w:p>
        </w:tc>
        <w:tc>
          <w:tcPr>
            <w:tcW w:type="dxa" w:w="3521"/>
            <w:shd w:val="clear" w:color="auto" w:fill="0B3B3C"/>
            <w:tcMar>
              <w:top w:w="60" w:type="dxa"/>
              <w:left w:w="90" w:type="dxa"/>
              <w:bottom w:w="60" w:type="dxa"/>
              <w:right w:w="90" w:type="dxa"/>
            </w:tcMar>
          </w:tcPr>
          <w:p>
            <w:pPr>
              <w:spacing w:after="0"/>
            </w:pPr>
            <w:r>
              <w:rPr>
                <w:b/>
                <w:color w:val="FFFFFF"/>
                <w:sz w:val="19"/>
              </w:rPr>
              <w:t>Controls</w:t>
            </w:r>
          </w:p>
        </w:tc>
        <w:tc>
          <w:tcPr>
            <w:tcW w:type="dxa" w:w="3521"/>
            <w:shd w:val="clear" w:color="auto" w:fill="0B3B3C"/>
            <w:tcMar>
              <w:top w:w="60" w:type="dxa"/>
              <w:left w:w="90" w:type="dxa"/>
              <w:bottom w:w="60" w:type="dxa"/>
              <w:right w:w="90" w:type="dxa"/>
            </w:tcMar>
          </w:tcPr>
          <w:p>
            <w:pPr>
              <w:spacing w:after="0"/>
            </w:pPr>
            <w:r>
              <w:rPr>
                <w:b/>
                <w:color w:val="FFFFFF"/>
                <w:sz w:val="19"/>
              </w:rPr>
              <w:t>Do and capture</w:t>
            </w:r>
          </w:p>
        </w:tc>
      </w:tr>
      <w:tr>
        <w:trPr>
          <w:cantSplit w:val="true"/>
        </w:trPr>
        <w:tc>
          <w:tcPr>
            <w:tcW w:type="dxa" w:w="2596"/>
            <w:tcMar>
              <w:top w:w="60" w:type="dxa"/>
              <w:left w:w="90" w:type="dxa"/>
              <w:bottom w:w="60" w:type="dxa"/>
              <w:right w:w="90" w:type="dxa"/>
            </w:tcMar>
          </w:tcPr>
          <w:p>
            <w:pPr>
              <w:spacing w:after="0"/>
            </w:pPr>
            <w:r>
              <w:rPr>
                <w:sz w:val="19"/>
              </w:rPr>
              <w:t>S4 Lawful grounds</w:t>
            </w:r>
          </w:p>
        </w:tc>
        <w:tc>
          <w:tcPr>
            <w:tcW w:type="dxa" w:w="3521"/>
            <w:tcMar>
              <w:top w:w="60" w:type="dxa"/>
              <w:left w:w="90" w:type="dxa"/>
              <w:bottom w:w="60" w:type="dxa"/>
              <w:right w:w="90" w:type="dxa"/>
            </w:tcMar>
          </w:tcPr>
          <w:p>
            <w:pPr>
              <w:spacing w:after="0"/>
            </w:pPr>
            <w:r>
              <w:rPr>
                <w:sz w:val="19"/>
              </w:rPr>
              <w:t>PRIV-009, PRIV-003</w:t>
            </w:r>
          </w:p>
        </w:tc>
        <w:tc>
          <w:tcPr>
            <w:tcW w:type="dxa" w:w="3521"/>
            <w:tcMar>
              <w:top w:w="60" w:type="dxa"/>
              <w:left w:w="90" w:type="dxa"/>
              <w:bottom w:w="60" w:type="dxa"/>
              <w:right w:w="90" w:type="dxa"/>
            </w:tcMar>
          </w:tcPr>
          <w:p>
            <w:pPr>
              <w:spacing w:after="0"/>
            </w:pPr>
            <w:r>
              <w:rPr>
                <w:sz w:val="19"/>
              </w:rPr>
              <w:t>Record of processing with the lawful ground for each activity</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S5 Notice</w:t>
            </w:r>
          </w:p>
        </w:tc>
        <w:tc>
          <w:tcPr>
            <w:tcW w:type="dxa" w:w="3521"/>
            <w:tcMar>
              <w:top w:w="60" w:type="dxa"/>
              <w:left w:w="90" w:type="dxa"/>
              <w:bottom w:w="60" w:type="dxa"/>
              <w:right w:w="90" w:type="dxa"/>
            </w:tcMar>
            <w:shd w:val="clear" w:color="auto" w:fill="F2F7F6"/>
          </w:tcPr>
          <w:p>
            <w:pPr>
              <w:spacing w:after="0"/>
            </w:pPr>
            <w:r>
              <w:rPr>
                <w:sz w:val="19"/>
              </w:rPr>
              <w:t>PRIV-002</w:t>
            </w:r>
          </w:p>
        </w:tc>
        <w:tc>
          <w:tcPr>
            <w:tcW w:type="dxa" w:w="3521"/>
            <w:tcMar>
              <w:top w:w="60" w:type="dxa"/>
              <w:left w:w="90" w:type="dxa"/>
              <w:bottom w:w="60" w:type="dxa"/>
              <w:right w:w="90" w:type="dxa"/>
            </w:tcMar>
            <w:shd w:val="clear" w:color="auto" w:fill="F2F7F6"/>
          </w:tcPr>
          <w:p>
            <w:pPr>
              <w:spacing w:after="0"/>
            </w:pPr>
            <w:r>
              <w:rPr>
                <w:sz w:val="19"/>
              </w:rPr>
              <w:t>Notice text, languages, where shown</w:t>
            </w:r>
          </w:p>
        </w:tc>
      </w:tr>
      <w:tr>
        <w:trPr>
          <w:cantSplit w:val="true"/>
        </w:trPr>
        <w:tc>
          <w:tcPr>
            <w:tcW w:type="dxa" w:w="2596"/>
            <w:tcMar>
              <w:top w:w="60" w:type="dxa"/>
              <w:left w:w="90" w:type="dxa"/>
              <w:bottom w:w="60" w:type="dxa"/>
              <w:right w:w="90" w:type="dxa"/>
            </w:tcMar>
          </w:tcPr>
          <w:p>
            <w:pPr>
              <w:spacing w:after="0"/>
            </w:pPr>
            <w:r>
              <w:rPr>
                <w:sz w:val="19"/>
              </w:rPr>
              <w:t>S6 Valid consent</w:t>
            </w:r>
          </w:p>
        </w:tc>
        <w:tc>
          <w:tcPr>
            <w:tcW w:type="dxa" w:w="3521"/>
            <w:tcMar>
              <w:top w:w="60" w:type="dxa"/>
              <w:left w:w="90" w:type="dxa"/>
              <w:bottom w:w="60" w:type="dxa"/>
              <w:right w:w="90" w:type="dxa"/>
            </w:tcMar>
          </w:tcPr>
          <w:p>
            <w:pPr>
              <w:spacing w:after="0"/>
            </w:pPr>
            <w:r>
              <w:rPr>
                <w:sz w:val="19"/>
              </w:rPr>
              <w:t>PRIV-003</w:t>
            </w:r>
          </w:p>
        </w:tc>
        <w:tc>
          <w:tcPr>
            <w:tcW w:type="dxa" w:w="3521"/>
            <w:tcMar>
              <w:top w:w="60" w:type="dxa"/>
              <w:left w:w="90" w:type="dxa"/>
              <w:bottom w:w="60" w:type="dxa"/>
              <w:right w:w="90" w:type="dxa"/>
            </w:tcMar>
          </w:tcPr>
          <w:p>
            <w:pPr>
              <w:spacing w:after="0"/>
            </w:pPr>
            <w:r>
              <w:rPr>
                <w:sz w:val="19"/>
              </w:rPr>
              <w:t>Consent records, consent screens, withdrawal process</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S7 Legitimate uses (including employment)</w:t>
            </w:r>
          </w:p>
        </w:tc>
        <w:tc>
          <w:tcPr>
            <w:tcW w:type="dxa" w:w="3521"/>
            <w:tcMar>
              <w:top w:w="60" w:type="dxa"/>
              <w:left w:w="90" w:type="dxa"/>
              <w:bottom w:w="60" w:type="dxa"/>
              <w:right w:w="90" w:type="dxa"/>
            </w:tcMar>
            <w:shd w:val="clear" w:color="auto" w:fill="F2F7F6"/>
          </w:tcPr>
          <w:p>
            <w:pPr>
              <w:spacing w:after="0"/>
            </w:pPr>
            <w:r>
              <w:rPr>
                <w:sz w:val="19"/>
              </w:rPr>
              <w:t>PRIV-009</w:t>
            </w:r>
          </w:p>
        </w:tc>
        <w:tc>
          <w:tcPr>
            <w:tcW w:type="dxa" w:w="3521"/>
            <w:tcMar>
              <w:top w:w="60" w:type="dxa"/>
              <w:left w:w="90" w:type="dxa"/>
              <w:bottom w:w="60" w:type="dxa"/>
              <w:right w:w="90" w:type="dxa"/>
            </w:tcMar>
            <w:shd w:val="clear" w:color="auto" w:fill="F2F7F6"/>
          </w:tcPr>
          <w:p>
            <w:pPr>
              <w:spacing w:after="0"/>
            </w:pPr>
            <w:r>
              <w:rPr>
                <w:sz w:val="19"/>
              </w:rPr>
              <w:t>Documented legitimate uses and their basis</w:t>
            </w:r>
          </w:p>
        </w:tc>
      </w:tr>
      <w:tr>
        <w:trPr>
          <w:cantSplit w:val="true"/>
        </w:trPr>
        <w:tc>
          <w:tcPr>
            <w:tcW w:type="dxa" w:w="2596"/>
            <w:tcMar>
              <w:top w:w="60" w:type="dxa"/>
              <w:left w:w="90" w:type="dxa"/>
              <w:bottom w:w="60" w:type="dxa"/>
              <w:right w:w="90" w:type="dxa"/>
            </w:tcMar>
          </w:tcPr>
          <w:p>
            <w:pPr>
              <w:spacing w:after="0"/>
            </w:pPr>
            <w:r>
              <w:rPr>
                <w:sz w:val="19"/>
              </w:rPr>
              <w:t>S8(5) Reasonable security safeguards</w:t>
            </w:r>
          </w:p>
        </w:tc>
        <w:tc>
          <w:tcPr>
            <w:tcW w:type="dxa" w:w="3521"/>
            <w:tcMar>
              <w:top w:w="60" w:type="dxa"/>
              <w:left w:w="90" w:type="dxa"/>
              <w:bottom w:w="60" w:type="dxa"/>
              <w:right w:w="90" w:type="dxa"/>
            </w:tcMar>
          </w:tcPr>
          <w:p>
            <w:pPr>
              <w:spacing w:after="0"/>
            </w:pPr>
            <w:r>
              <w:rPr>
                <w:sz w:val="19"/>
              </w:rPr>
              <w:t>IAM-001, IAM-002, IAM-003, LOG-001, BCP-001, CRYPTO-001, NET-001, VULN-001, HR-001, GOV-001</w:t>
            </w:r>
          </w:p>
        </w:tc>
        <w:tc>
          <w:tcPr>
            <w:tcW w:type="dxa" w:w="3521"/>
            <w:tcMar>
              <w:top w:w="60" w:type="dxa"/>
              <w:left w:w="90" w:type="dxa"/>
              <w:bottom w:w="60" w:type="dxa"/>
              <w:right w:w="90" w:type="dxa"/>
            </w:tcMar>
          </w:tcPr>
          <w:p>
            <w:pPr>
              <w:spacing w:after="0"/>
            </w:pPr>
            <w:r>
              <w:rPr>
                <w:sz w:val="19"/>
              </w:rPr>
              <w:t>All the technical and organisational controls above. This is the broadest requirement</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S8(6) Breach notification</w:t>
            </w:r>
          </w:p>
        </w:tc>
        <w:tc>
          <w:tcPr>
            <w:tcW w:type="dxa" w:w="3521"/>
            <w:tcMar>
              <w:top w:w="60" w:type="dxa"/>
              <w:left w:w="90" w:type="dxa"/>
              <w:bottom w:w="60" w:type="dxa"/>
              <w:right w:w="90" w:type="dxa"/>
            </w:tcMar>
            <w:shd w:val="clear" w:color="auto" w:fill="F2F7F6"/>
          </w:tcPr>
          <w:p>
            <w:pPr>
              <w:spacing w:after="0"/>
            </w:pPr>
            <w:r>
              <w:rPr>
                <w:sz w:val="19"/>
              </w:rPr>
              <w:t>LOG-001, IR-001</w:t>
            </w:r>
          </w:p>
        </w:tc>
        <w:tc>
          <w:tcPr>
            <w:tcW w:type="dxa" w:w="3521"/>
            <w:tcMar>
              <w:top w:w="60" w:type="dxa"/>
              <w:left w:w="90" w:type="dxa"/>
              <w:bottom w:w="60" w:type="dxa"/>
              <w:right w:w="90" w:type="dxa"/>
            </w:tcMar>
            <w:shd w:val="clear" w:color="auto" w:fill="F2F7F6"/>
          </w:tcPr>
          <w:p>
            <w:pPr>
              <w:spacing w:after="0"/>
            </w:pPr>
            <w:r>
              <w:rPr>
                <w:sz w:val="19"/>
              </w:rPr>
              <w:t>Breach plan, register, notification template, test record</w:t>
            </w:r>
          </w:p>
        </w:tc>
      </w:tr>
      <w:tr>
        <w:trPr>
          <w:cantSplit w:val="true"/>
        </w:trPr>
        <w:tc>
          <w:tcPr>
            <w:tcW w:type="dxa" w:w="2596"/>
            <w:tcMar>
              <w:top w:w="60" w:type="dxa"/>
              <w:left w:w="90" w:type="dxa"/>
              <w:bottom w:w="60" w:type="dxa"/>
              <w:right w:w="90" w:type="dxa"/>
            </w:tcMar>
          </w:tcPr>
          <w:p>
            <w:pPr>
              <w:spacing w:after="0"/>
            </w:pPr>
            <w:r>
              <w:rPr>
                <w:sz w:val="19"/>
              </w:rPr>
              <w:t>S8(7) Erasure</w:t>
            </w:r>
          </w:p>
        </w:tc>
        <w:tc>
          <w:tcPr>
            <w:tcW w:type="dxa" w:w="3521"/>
            <w:tcMar>
              <w:top w:w="60" w:type="dxa"/>
              <w:left w:w="90" w:type="dxa"/>
              <w:bottom w:w="60" w:type="dxa"/>
              <w:right w:w="90" w:type="dxa"/>
            </w:tcMar>
          </w:tcPr>
          <w:p>
            <w:pPr>
              <w:spacing w:after="0"/>
            </w:pPr>
            <w:r>
              <w:rPr>
                <w:sz w:val="19"/>
              </w:rPr>
              <w:t>PRIV-005, VEND-001</w:t>
            </w:r>
          </w:p>
        </w:tc>
        <w:tc>
          <w:tcPr>
            <w:tcW w:type="dxa" w:w="3521"/>
            <w:tcMar>
              <w:top w:w="60" w:type="dxa"/>
              <w:left w:w="90" w:type="dxa"/>
              <w:bottom w:w="60" w:type="dxa"/>
              <w:right w:w="90" w:type="dxa"/>
            </w:tcMar>
          </w:tcPr>
          <w:p>
            <w:pPr>
              <w:spacing w:after="0"/>
            </w:pPr>
            <w:r>
              <w:rPr>
                <w:sz w:val="19"/>
              </w:rPr>
              <w:t>Retention schedule, deletion proof, supplier deletion terms</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S8(9)-(10) Grievance</w:t>
            </w:r>
          </w:p>
        </w:tc>
        <w:tc>
          <w:tcPr>
            <w:tcW w:type="dxa" w:w="3521"/>
            <w:tcMar>
              <w:top w:w="60" w:type="dxa"/>
              <w:left w:w="90" w:type="dxa"/>
              <w:bottom w:w="60" w:type="dxa"/>
              <w:right w:w="90" w:type="dxa"/>
            </w:tcMar>
            <w:shd w:val="clear" w:color="auto" w:fill="F2F7F6"/>
          </w:tcPr>
          <w:p>
            <w:pPr>
              <w:spacing w:after="0"/>
            </w:pPr>
            <w:r>
              <w:rPr>
                <w:sz w:val="19"/>
              </w:rPr>
              <w:t>PRIV-007</w:t>
            </w:r>
          </w:p>
        </w:tc>
        <w:tc>
          <w:tcPr>
            <w:tcW w:type="dxa" w:w="3521"/>
            <w:tcMar>
              <w:top w:w="60" w:type="dxa"/>
              <w:left w:w="90" w:type="dxa"/>
              <w:bottom w:w="60" w:type="dxa"/>
              <w:right w:w="90" w:type="dxa"/>
            </w:tcMar>
            <w:shd w:val="clear" w:color="auto" w:fill="F2F7F6"/>
          </w:tcPr>
          <w:p>
            <w:pPr>
              <w:spacing w:after="0"/>
            </w:pPr>
            <w:r>
              <w:rPr>
                <w:sz w:val="19"/>
              </w:rPr>
              <w:t>Published contact, grievance register</w:t>
            </w:r>
          </w:p>
        </w:tc>
      </w:tr>
      <w:tr>
        <w:trPr>
          <w:cantSplit w:val="true"/>
        </w:trPr>
        <w:tc>
          <w:tcPr>
            <w:tcW w:type="dxa" w:w="2596"/>
            <w:tcMar>
              <w:top w:w="60" w:type="dxa"/>
              <w:left w:w="90" w:type="dxa"/>
              <w:bottom w:w="60" w:type="dxa"/>
              <w:right w:w="90" w:type="dxa"/>
            </w:tcMar>
          </w:tcPr>
          <w:p>
            <w:pPr>
              <w:spacing w:after="0"/>
            </w:pPr>
            <w:r>
              <w:rPr>
                <w:sz w:val="19"/>
              </w:rPr>
              <w:t>S9 Children</w:t>
            </w:r>
          </w:p>
        </w:tc>
        <w:tc>
          <w:tcPr>
            <w:tcW w:type="dxa" w:w="3521"/>
            <w:tcMar>
              <w:top w:w="60" w:type="dxa"/>
              <w:left w:w="90" w:type="dxa"/>
              <w:bottom w:w="60" w:type="dxa"/>
              <w:right w:w="90" w:type="dxa"/>
            </w:tcMar>
          </w:tcPr>
          <w:p>
            <w:pPr>
              <w:spacing w:after="0"/>
            </w:pPr>
            <w:r>
              <w:rPr>
                <w:sz w:val="19"/>
              </w:rPr>
              <w:t>PRIV-006</w:t>
            </w:r>
          </w:p>
        </w:tc>
        <w:tc>
          <w:tcPr>
            <w:tcW w:type="dxa" w:w="3521"/>
            <w:tcMar>
              <w:top w:w="60" w:type="dxa"/>
              <w:left w:w="90" w:type="dxa"/>
              <w:bottom w:w="60" w:type="dxa"/>
              <w:right w:w="90" w:type="dxa"/>
            </w:tcMar>
          </w:tcPr>
          <w:p>
            <w:pPr>
              <w:spacing w:after="0"/>
            </w:pPr>
            <w:r>
              <w:rPr>
                <w:sz w:val="19"/>
              </w:rPr>
              <w:t>Guardian consent flow (if relevant)</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S11-14 Data Principal rights</w:t>
            </w:r>
          </w:p>
        </w:tc>
        <w:tc>
          <w:tcPr>
            <w:tcW w:type="dxa" w:w="3521"/>
            <w:tcMar>
              <w:top w:w="60" w:type="dxa"/>
              <w:left w:w="90" w:type="dxa"/>
              <w:bottom w:w="60" w:type="dxa"/>
              <w:right w:w="90" w:type="dxa"/>
            </w:tcMar>
            <w:shd w:val="clear" w:color="auto" w:fill="F2F7F6"/>
          </w:tcPr>
          <w:p>
            <w:pPr>
              <w:spacing w:after="0"/>
            </w:pPr>
            <w:r>
              <w:rPr>
                <w:sz w:val="19"/>
              </w:rPr>
              <w:t>PRIV-004, PRIV-007</w:t>
            </w:r>
          </w:p>
        </w:tc>
        <w:tc>
          <w:tcPr>
            <w:tcW w:type="dxa" w:w="3521"/>
            <w:tcMar>
              <w:top w:w="60" w:type="dxa"/>
              <w:left w:w="90" w:type="dxa"/>
              <w:bottom w:w="60" w:type="dxa"/>
              <w:right w:w="90" w:type="dxa"/>
            </w:tcMar>
            <w:shd w:val="clear" w:color="auto" w:fill="F2F7F6"/>
          </w:tcPr>
          <w:p>
            <w:pPr>
              <w:spacing w:after="0"/>
            </w:pPr>
            <w:r>
              <w:rPr>
                <w:sz w:val="19"/>
              </w:rPr>
              <w:t>Request log, response samples</w:t>
            </w:r>
          </w:p>
        </w:tc>
      </w:tr>
      <w:tr>
        <w:trPr>
          <w:cantSplit w:val="true"/>
        </w:trPr>
        <w:tc>
          <w:tcPr>
            <w:tcW w:type="dxa" w:w="2596"/>
            <w:tcMar>
              <w:top w:w="60" w:type="dxa"/>
              <w:left w:w="90" w:type="dxa"/>
              <w:bottom w:w="60" w:type="dxa"/>
              <w:right w:w="90" w:type="dxa"/>
            </w:tcMar>
          </w:tcPr>
          <w:p>
            <w:pPr>
              <w:spacing w:after="0"/>
            </w:pPr>
            <w:r>
              <w:rPr>
                <w:sz w:val="19"/>
              </w:rPr>
              <w:t>S16 Transfer outside India</w:t>
            </w:r>
          </w:p>
        </w:tc>
        <w:tc>
          <w:tcPr>
            <w:tcW w:type="dxa" w:w="3521"/>
            <w:tcMar>
              <w:top w:w="60" w:type="dxa"/>
              <w:left w:w="90" w:type="dxa"/>
              <w:bottom w:w="60" w:type="dxa"/>
              <w:right w:w="90" w:type="dxa"/>
            </w:tcMar>
          </w:tcPr>
          <w:p>
            <w:pPr>
              <w:spacing w:after="0"/>
            </w:pPr>
            <w:r>
              <w:rPr>
                <w:sz w:val="19"/>
              </w:rPr>
              <w:t>PRIV-008</w:t>
            </w:r>
          </w:p>
        </w:tc>
        <w:tc>
          <w:tcPr>
            <w:tcW w:type="dxa" w:w="3521"/>
            <w:tcMar>
              <w:top w:w="60" w:type="dxa"/>
              <w:left w:w="90" w:type="dxa"/>
              <w:bottom w:w="60" w:type="dxa"/>
              <w:right w:w="90" w:type="dxa"/>
            </w:tcMar>
          </w:tcPr>
          <w:p>
            <w:pPr>
              <w:spacing w:after="0"/>
            </w:pPr>
            <w:r>
              <w:rPr>
                <w:sz w:val="19"/>
              </w:rPr>
              <w:t>Transfer register and checks</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R6 Log and data retention</w:t>
            </w:r>
          </w:p>
        </w:tc>
        <w:tc>
          <w:tcPr>
            <w:tcW w:type="dxa" w:w="3521"/>
            <w:tcMar>
              <w:top w:w="60" w:type="dxa"/>
              <w:left w:w="90" w:type="dxa"/>
              <w:bottom w:w="60" w:type="dxa"/>
              <w:right w:w="90" w:type="dxa"/>
            </w:tcMar>
            <w:shd w:val="clear" w:color="auto" w:fill="F2F7F6"/>
          </w:tcPr>
          <w:p>
            <w:pPr>
              <w:spacing w:after="0"/>
            </w:pPr>
            <w:r>
              <w:rPr>
                <w:sz w:val="19"/>
              </w:rPr>
              <w:t>LOG-001</w:t>
            </w:r>
          </w:p>
        </w:tc>
        <w:tc>
          <w:tcPr>
            <w:tcW w:type="dxa" w:w="3521"/>
            <w:tcMar>
              <w:top w:w="60" w:type="dxa"/>
              <w:left w:w="90" w:type="dxa"/>
              <w:bottom w:w="60" w:type="dxa"/>
              <w:right w:w="90" w:type="dxa"/>
            </w:tcMar>
            <w:shd w:val="clear" w:color="auto" w:fill="F2F7F6"/>
          </w:tcPr>
          <w:p>
            <w:pPr>
              <w:spacing w:after="0"/>
            </w:pPr>
            <w:r>
              <w:rPr>
                <w:sz w:val="19"/>
              </w:rPr>
              <w:t>Retention setting and proof logs are kept for the required period</w:t>
            </w:r>
          </w:p>
        </w:tc>
      </w:tr>
      <w:tr>
        <w:trPr>
          <w:cantSplit w:val="true"/>
        </w:trPr>
        <w:tc>
          <w:tcPr>
            <w:tcW w:type="dxa" w:w="2596"/>
            <w:tcMar>
              <w:top w:w="60" w:type="dxa"/>
              <w:left w:w="90" w:type="dxa"/>
              <w:bottom w:w="60" w:type="dxa"/>
              <w:right w:w="90" w:type="dxa"/>
            </w:tcMar>
          </w:tcPr>
          <w:p>
            <w:pPr>
              <w:spacing w:after="0"/>
            </w:pPr>
            <w:r>
              <w:rPr>
                <w:sz w:val="19"/>
              </w:rPr>
              <w:t>Processor obligations</w:t>
            </w:r>
          </w:p>
        </w:tc>
        <w:tc>
          <w:tcPr>
            <w:tcW w:type="dxa" w:w="3521"/>
            <w:tcMar>
              <w:top w:w="60" w:type="dxa"/>
              <w:left w:w="90" w:type="dxa"/>
              <w:bottom w:w="60" w:type="dxa"/>
              <w:right w:w="90" w:type="dxa"/>
            </w:tcMar>
          </w:tcPr>
          <w:p>
            <w:pPr>
              <w:spacing w:after="0"/>
            </w:pPr>
            <w:r>
              <w:rPr>
                <w:sz w:val="19"/>
              </w:rPr>
              <w:t>VEND-001</w:t>
            </w:r>
          </w:p>
        </w:tc>
        <w:tc>
          <w:tcPr>
            <w:tcW w:type="dxa" w:w="3521"/>
            <w:tcMar>
              <w:top w:w="60" w:type="dxa"/>
              <w:left w:w="90" w:type="dxa"/>
              <w:bottom w:w="60" w:type="dxa"/>
              <w:right w:w="90" w:type="dxa"/>
            </w:tcMar>
          </w:tcPr>
          <w:p>
            <w:pPr>
              <w:spacing w:after="0"/>
            </w:pPr>
            <w:r>
              <w:rPr>
                <w:sz w:val="19"/>
              </w:rPr>
              <w:t>Processor contracts and oversight</w:t>
            </w:r>
          </w:p>
        </w:tc>
      </w:tr>
      <w:tr>
        <w:trPr>
          <w:cantSplit w:val="true"/>
        </w:trPr>
        <w:tc>
          <w:tcPr>
            <w:tcW w:type="dxa" w:w="2596"/>
            <w:tcMar>
              <w:top w:w="60" w:type="dxa"/>
              <w:left w:w="90" w:type="dxa"/>
              <w:bottom w:w="60" w:type="dxa"/>
              <w:right w:w="90" w:type="dxa"/>
            </w:tcMar>
            <w:shd w:val="clear" w:color="auto" w:fill="F2F7F6"/>
          </w:tcPr>
          <w:p>
            <w:pPr>
              <w:spacing w:after="0"/>
            </w:pPr>
            <w:r>
              <w:rPr>
                <w:sz w:val="19"/>
              </w:rPr>
              <w:t>SDF obligations</w:t>
            </w:r>
          </w:p>
        </w:tc>
        <w:tc>
          <w:tcPr>
            <w:tcW w:type="dxa" w:w="3521"/>
            <w:tcMar>
              <w:top w:w="60" w:type="dxa"/>
              <w:left w:w="90" w:type="dxa"/>
              <w:bottom w:w="60" w:type="dxa"/>
              <w:right w:w="90" w:type="dxa"/>
            </w:tcMar>
            <w:shd w:val="clear" w:color="auto" w:fill="F2F7F6"/>
          </w:tcPr>
          <w:p>
            <w:pPr>
              <w:spacing w:after="0"/>
            </w:pPr>
            <w:r>
              <w:rPr>
                <w:sz w:val="19"/>
              </w:rPr>
              <w:t>PRIV-001</w:t>
            </w:r>
          </w:p>
        </w:tc>
        <w:tc>
          <w:tcPr>
            <w:tcW w:type="dxa" w:w="3521"/>
            <w:tcMar>
              <w:top w:w="60" w:type="dxa"/>
              <w:left w:w="90" w:type="dxa"/>
              <w:bottom w:w="60" w:type="dxa"/>
              <w:right w:w="90" w:type="dxa"/>
            </w:tcMar>
            <w:shd w:val="clear" w:color="auto" w:fill="F2F7F6"/>
          </w:tcPr>
          <w:p>
            <w:pPr>
              <w:spacing w:after="0"/>
            </w:pPr>
            <w:r>
              <w:rPr>
                <w:sz w:val="19"/>
              </w:rPr>
              <w:t>Only if notified as a Significant Data Fiduciary</w:t>
            </w:r>
          </w:p>
        </w:tc>
      </w:tr>
    </w:tbl>
    <w:p>
      <w:pPr>
        <w:spacing w:after="40"/>
      </w:pPr>
    </w:p>
    <w:p>
      <w:r>
        <w:t xml:space="preserve">The product also has a dedicated </w:t>
      </w:r>
      <w:r>
        <w:rPr>
          <w:b/>
        </w:rPr>
        <w:t>Privacy</w:t>
      </w:r>
      <w:r>
        <w:t xml:space="preserve"> area for consent notices, consent records and rights requests. Use its records as evidence where they apply.</w:t>
      </w:r>
    </w:p>
    <w:p>
      <w:pPr>
        <w:pStyle w:val="Heading2"/>
      </w:pPr>
      <w:r>
        <w:t>7. Roles and sign-off</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2735"/>
            <w:shd w:val="clear" w:color="auto" w:fill="0B3B3C"/>
            <w:tcMar>
              <w:top w:w="60" w:type="dxa"/>
              <w:left w:w="90" w:type="dxa"/>
              <w:bottom w:w="60" w:type="dxa"/>
              <w:right w:w="90" w:type="dxa"/>
            </w:tcMar>
          </w:tcPr>
          <w:p>
            <w:pPr>
              <w:spacing w:after="0"/>
            </w:pPr>
            <w:r>
              <w:rPr>
                <w:b/>
                <w:color w:val="FFFFFF"/>
                <w:sz w:val="19"/>
              </w:rPr>
              <w:t>Step</w:t>
            </w:r>
          </w:p>
        </w:tc>
        <w:tc>
          <w:tcPr>
            <w:tcW w:type="dxa" w:w="3080"/>
            <w:shd w:val="clear" w:color="auto" w:fill="0B3B3C"/>
            <w:tcMar>
              <w:top w:w="60" w:type="dxa"/>
              <w:left w:w="90" w:type="dxa"/>
              <w:bottom w:w="60" w:type="dxa"/>
              <w:right w:w="90" w:type="dxa"/>
            </w:tcMar>
          </w:tcPr>
          <w:p>
            <w:pPr>
              <w:spacing w:after="0"/>
            </w:pPr>
            <w:r>
              <w:rPr>
                <w:b/>
                <w:color w:val="FFFFFF"/>
                <w:sz w:val="19"/>
              </w:rPr>
              <w:t>Who</w:t>
            </w:r>
          </w:p>
        </w:tc>
        <w:tc>
          <w:tcPr>
            <w:tcW w:type="dxa" w:w="3823"/>
            <w:shd w:val="clear" w:color="auto" w:fill="0B3B3C"/>
            <w:tcMar>
              <w:top w:w="60" w:type="dxa"/>
              <w:left w:w="90" w:type="dxa"/>
              <w:bottom w:w="60" w:type="dxa"/>
              <w:right w:w="90" w:type="dxa"/>
            </w:tcMar>
          </w:tcPr>
          <w:p>
            <w:pPr>
              <w:spacing w:after="0"/>
            </w:pPr>
            <w:r>
              <w:rPr>
                <w:b/>
                <w:color w:val="FFFFFF"/>
                <w:sz w:val="19"/>
              </w:rPr>
              <w:t>Proof</w:t>
            </w:r>
          </w:p>
        </w:tc>
      </w:tr>
      <w:tr>
        <w:trPr>
          <w:cantSplit w:val="true"/>
        </w:trPr>
        <w:tc>
          <w:tcPr>
            <w:tcW w:type="dxa" w:w="2735"/>
            <w:tcMar>
              <w:top w:w="60" w:type="dxa"/>
              <w:left w:w="90" w:type="dxa"/>
              <w:bottom w:w="60" w:type="dxa"/>
              <w:right w:w="90" w:type="dxa"/>
            </w:tcMar>
          </w:tcPr>
          <w:p>
            <w:pPr>
              <w:spacing w:after="0"/>
            </w:pPr>
            <w:r>
              <w:rPr>
                <w:sz w:val="19"/>
              </w:rPr>
              <w:t>Upload evidence</w:t>
            </w:r>
          </w:p>
        </w:tc>
        <w:tc>
          <w:tcPr>
            <w:tcW w:type="dxa" w:w="3080"/>
            <w:tcMar>
              <w:top w:w="60" w:type="dxa"/>
              <w:left w:w="90" w:type="dxa"/>
              <w:bottom w:w="60" w:type="dxa"/>
              <w:right w:w="90" w:type="dxa"/>
            </w:tcMar>
          </w:tcPr>
          <w:p>
            <w:pPr>
              <w:spacing w:after="0"/>
            </w:pPr>
            <w:r>
              <w:rPr>
                <w:sz w:val="19"/>
              </w:rPr>
              <w:t>Control owner</w:t>
            </w:r>
          </w:p>
        </w:tc>
        <w:tc>
          <w:tcPr>
            <w:tcW w:type="dxa" w:w="3823"/>
            <w:tcMar>
              <w:top w:w="60" w:type="dxa"/>
              <w:left w:w="90" w:type="dxa"/>
              <w:bottom w:w="60" w:type="dxa"/>
              <w:right w:w="90" w:type="dxa"/>
            </w:tcMar>
          </w:tcPr>
          <w:p>
            <w:pPr>
              <w:spacing w:after="0"/>
            </w:pPr>
            <w:r>
              <w:rPr>
                <w:sz w:val="19"/>
              </w:rPr>
              <w:t>Evidence with owner, date, scan status</w:t>
            </w:r>
          </w:p>
        </w:tc>
      </w:tr>
      <w:tr>
        <w:trPr>
          <w:cantSplit w:val="true"/>
        </w:trPr>
        <w:tc>
          <w:tcPr>
            <w:tcW w:type="dxa" w:w="2735"/>
            <w:tcMar>
              <w:top w:w="60" w:type="dxa"/>
              <w:left w:w="90" w:type="dxa"/>
              <w:bottom w:w="60" w:type="dxa"/>
              <w:right w:w="90" w:type="dxa"/>
            </w:tcMar>
            <w:shd w:val="clear" w:color="auto" w:fill="F2F7F6"/>
          </w:tcPr>
          <w:p>
            <w:pPr>
              <w:spacing w:after="0"/>
            </w:pPr>
            <w:r>
              <w:rPr>
                <w:sz w:val="19"/>
              </w:rPr>
              <w:t>Validate and approve</w:t>
            </w:r>
          </w:p>
        </w:tc>
        <w:tc>
          <w:tcPr>
            <w:tcW w:type="dxa" w:w="3080"/>
            <w:tcMar>
              <w:top w:w="60" w:type="dxa"/>
              <w:left w:w="90" w:type="dxa"/>
              <w:bottom w:w="60" w:type="dxa"/>
              <w:right w:w="90" w:type="dxa"/>
            </w:tcMar>
            <w:shd w:val="clear" w:color="auto" w:fill="F2F7F6"/>
          </w:tcPr>
          <w:p>
            <w:pPr>
              <w:spacing w:after="0"/>
            </w:pPr>
            <w:r>
              <w:rPr>
                <w:sz w:val="19"/>
              </w:rPr>
              <w:t>Reviewer (never the uploader)</w:t>
            </w:r>
          </w:p>
        </w:tc>
        <w:tc>
          <w:tcPr>
            <w:tcW w:type="dxa" w:w="3823"/>
            <w:tcMar>
              <w:top w:w="60" w:type="dxa"/>
              <w:left w:w="90" w:type="dxa"/>
              <w:bottom w:w="60" w:type="dxa"/>
              <w:right w:w="90" w:type="dxa"/>
            </w:tcMar>
            <w:shd w:val="clear" w:color="auto" w:fill="F2F7F6"/>
          </w:tcPr>
          <w:p>
            <w:pPr>
              <w:spacing w:after="0"/>
            </w:pPr>
            <w:r>
              <w:rPr>
                <w:sz w:val="19"/>
              </w:rPr>
              <w:t>Review note against the five tests</w:t>
            </w:r>
          </w:p>
        </w:tc>
      </w:tr>
      <w:tr>
        <w:trPr>
          <w:cantSplit w:val="true"/>
        </w:trPr>
        <w:tc>
          <w:tcPr>
            <w:tcW w:type="dxa" w:w="2735"/>
            <w:tcMar>
              <w:top w:w="60" w:type="dxa"/>
              <w:left w:w="90" w:type="dxa"/>
              <w:bottom w:w="60" w:type="dxa"/>
              <w:right w:w="90" w:type="dxa"/>
            </w:tcMar>
          </w:tcPr>
          <w:p>
            <w:pPr>
              <w:spacing w:after="0"/>
            </w:pPr>
            <w:r>
              <w:rPr>
                <w:sz w:val="19"/>
              </w:rPr>
              <w:t>Accept a "not applicable"</w:t>
            </w:r>
          </w:p>
        </w:tc>
        <w:tc>
          <w:tcPr>
            <w:tcW w:type="dxa" w:w="3080"/>
            <w:tcMar>
              <w:top w:w="60" w:type="dxa"/>
              <w:left w:w="90" w:type="dxa"/>
              <w:bottom w:w="60" w:type="dxa"/>
              <w:right w:w="90" w:type="dxa"/>
            </w:tcMar>
          </w:tcPr>
          <w:p>
            <w:pPr>
              <w:spacing w:after="0"/>
            </w:pPr>
            <w:r>
              <w:rPr>
                <w:sz w:val="19"/>
              </w:rPr>
              <w:t>Reviewer</w:t>
            </w:r>
          </w:p>
        </w:tc>
        <w:tc>
          <w:tcPr>
            <w:tcW w:type="dxa" w:w="3823"/>
            <w:tcMar>
              <w:top w:w="60" w:type="dxa"/>
              <w:left w:w="90" w:type="dxa"/>
              <w:bottom w:w="60" w:type="dxa"/>
              <w:right w:w="90" w:type="dxa"/>
            </w:tcMar>
          </w:tcPr>
          <w:p>
            <w:pPr>
              <w:spacing w:after="0"/>
            </w:pPr>
            <w:r>
              <w:rPr>
                <w:sz w:val="19"/>
              </w:rPr>
              <w:t>Written reason</w:t>
            </w:r>
          </w:p>
        </w:tc>
      </w:tr>
      <w:tr>
        <w:trPr>
          <w:cantSplit w:val="true"/>
        </w:trPr>
        <w:tc>
          <w:tcPr>
            <w:tcW w:type="dxa" w:w="2735"/>
            <w:tcMar>
              <w:top w:w="60" w:type="dxa"/>
              <w:left w:w="90" w:type="dxa"/>
              <w:bottom w:w="60" w:type="dxa"/>
              <w:right w:w="90" w:type="dxa"/>
            </w:tcMar>
            <w:shd w:val="clear" w:color="auto" w:fill="F2F7F6"/>
          </w:tcPr>
          <w:p>
            <w:pPr>
              <w:spacing w:after="0"/>
            </w:pPr>
            <w:r>
              <w:rPr>
                <w:sz w:val="19"/>
              </w:rPr>
              <w:t>Close a finding</w:t>
            </w:r>
          </w:p>
        </w:tc>
        <w:tc>
          <w:tcPr>
            <w:tcW w:type="dxa" w:w="3080"/>
            <w:tcMar>
              <w:top w:w="60" w:type="dxa"/>
              <w:left w:w="90" w:type="dxa"/>
              <w:bottom w:w="60" w:type="dxa"/>
              <w:right w:w="90" w:type="dxa"/>
            </w:tcMar>
            <w:shd w:val="clear" w:color="auto" w:fill="F2F7F6"/>
          </w:tcPr>
          <w:p>
            <w:pPr>
              <w:spacing w:after="0"/>
            </w:pPr>
            <w:r>
              <w:rPr>
                <w:sz w:val="19"/>
              </w:rPr>
              <w:t>Reviewer</w:t>
            </w:r>
          </w:p>
        </w:tc>
        <w:tc>
          <w:tcPr>
            <w:tcW w:type="dxa" w:w="3823"/>
            <w:tcMar>
              <w:top w:w="60" w:type="dxa"/>
              <w:left w:w="90" w:type="dxa"/>
              <w:bottom w:w="60" w:type="dxa"/>
              <w:right w:w="90" w:type="dxa"/>
            </w:tcMar>
            <w:shd w:val="clear" w:color="auto" w:fill="F2F7F6"/>
          </w:tcPr>
          <w:p>
            <w:pPr>
              <w:spacing w:after="0"/>
            </w:pPr>
            <w:r>
              <w:rPr>
                <w:sz w:val="19"/>
              </w:rPr>
              <w:t>Proof that it is fixed</w:t>
            </w:r>
          </w:p>
        </w:tc>
      </w:tr>
      <w:tr>
        <w:trPr>
          <w:cantSplit w:val="true"/>
        </w:trPr>
        <w:tc>
          <w:tcPr>
            <w:tcW w:type="dxa" w:w="2735"/>
            <w:tcMar>
              <w:top w:w="60" w:type="dxa"/>
              <w:left w:w="90" w:type="dxa"/>
              <w:bottom w:w="60" w:type="dxa"/>
              <w:right w:w="90" w:type="dxa"/>
            </w:tcMar>
          </w:tcPr>
          <w:p>
            <w:pPr>
              <w:spacing w:after="0"/>
            </w:pPr>
            <w:r>
              <w:rPr>
                <w:sz w:val="19"/>
              </w:rPr>
              <w:t>Sign off the assessment</w:t>
            </w:r>
          </w:p>
        </w:tc>
        <w:tc>
          <w:tcPr>
            <w:tcW w:type="dxa" w:w="3080"/>
            <w:tcMar>
              <w:top w:w="60" w:type="dxa"/>
              <w:left w:w="90" w:type="dxa"/>
              <w:bottom w:w="60" w:type="dxa"/>
              <w:right w:w="90" w:type="dxa"/>
            </w:tcMar>
          </w:tcPr>
          <w:p>
            <w:pPr>
              <w:spacing w:after="0"/>
            </w:pPr>
            <w:r>
              <w:rPr>
                <w:sz w:val="19"/>
              </w:rPr>
              <w:t>Company administrator</w:t>
            </w:r>
          </w:p>
        </w:tc>
        <w:tc>
          <w:tcPr>
            <w:tcW w:type="dxa" w:w="3823"/>
            <w:tcMar>
              <w:top w:w="60" w:type="dxa"/>
              <w:left w:w="90" w:type="dxa"/>
              <w:bottom w:w="60" w:type="dxa"/>
              <w:right w:w="90" w:type="dxa"/>
            </w:tcMar>
          </w:tcPr>
          <w:p>
            <w:pPr>
              <w:spacing w:after="0"/>
            </w:pPr>
            <w:r>
              <w:rPr>
                <w:sz w:val="19"/>
              </w:rPr>
              <w:t>Report and audit log entry</w:t>
            </w:r>
          </w:p>
        </w:tc>
      </w:tr>
    </w:tbl>
    <w:p>
      <w:pPr>
        <w:spacing w:after="40"/>
      </w:pPr>
    </w:p>
    <w:p>
      <w:pPr>
        <w:pStyle w:val="Heading2"/>
      </w:pPr>
      <w:r>
        <w:t>8. Quality gates before you call an assessment done</w:t>
      </w:r>
    </w:p>
    <w:p>
      <w:pPr>
        <w:pStyle w:val="ListBullet"/>
        <w:spacing w:after="60"/>
      </w:pPr>
      <w:r>
        <w:t>Every in-scope requirement has an owner and a status.</w:t>
      </w:r>
    </w:p>
    <w:p>
      <w:pPr>
        <w:pStyle w:val="ListBullet"/>
        <w:spacing w:after="60"/>
      </w:pPr>
      <w:r>
        <w:t xml:space="preserve">No control marked Met without approved, unexpired evidence or a passing </w:t>
      </w:r>
      <w:r>
        <w:rPr>
          <w:b/>
        </w:rPr>
        <w:t>live</w:t>
      </w:r>
      <w:r>
        <w:t xml:space="preserve"> check.</w:t>
      </w:r>
    </w:p>
    <w:p>
      <w:pPr>
        <w:pStyle w:val="ListBullet"/>
        <w:spacing w:after="60"/>
      </w:pPr>
      <w:r>
        <w:t>No check relied on sample (</w:t>
      </w:r>
      <w:r>
        <w:rPr>
          <w:rFonts w:ascii="Consolas" w:hAnsi="Consolas" w:eastAsia="Consolas"/>
          <w:color w:val="0B5E4F"/>
        </w:rPr>
        <w:t>MOCK</w:t>
      </w:r>
      <w:r>
        <w:t>) data for the final result.</w:t>
      </w:r>
    </w:p>
    <w:p>
      <w:pPr>
        <w:pStyle w:val="ListBullet"/>
        <w:spacing w:after="60"/>
      </w:pPr>
      <w:r>
        <w:t>Every finding of high or critical severity has an owner, a date and a remediation task.</w:t>
      </w:r>
    </w:p>
    <w:p>
      <w:pPr>
        <w:pStyle w:val="ListBullet"/>
        <w:spacing w:after="60"/>
      </w:pPr>
      <w:r>
        <w:t>Evidence dates cover the review period.</w:t>
      </w:r>
    </w:p>
    <w:p>
      <w:pPr>
        <w:pStyle w:val="ListBullet"/>
        <w:spacing w:after="60"/>
      </w:pPr>
      <w:r>
        <w:t>The reviewer is a different person from the uploader.</w:t>
      </w:r>
    </w:p>
    <w:p>
      <w:pPr>
        <w:pStyle w:val="ListBullet"/>
        <w:spacing w:after="60"/>
      </w:pPr>
      <w:r>
        <w:t>The report states scope, period, framework version and the readiness disclaimer.</w:t>
      </w:r>
    </w:p>
    <w:p>
      <w:pPr>
        <w:pStyle w:val="Heading2"/>
      </w:pPr>
      <w:r>
        <w:t>9. Worked example: ISO 27001 A.8.5 Secure authentication, start to finish</w:t>
      </w:r>
    </w:p>
    <w:p>
      <w:r>
        <w:t>Follow this once to learn the loop. The same shape applies to every requirement.</w:t>
      </w:r>
    </w:p>
    <w:p>
      <w:pPr>
        <w:spacing w:after="60"/>
        <w:ind w:left="510" w:hanging="340"/>
      </w:pPr>
      <w:r>
        <w:rPr>
          <w:b/>
          <w:color w:val="0B3B3C"/>
        </w:rPr>
        <w:t xml:space="preserve">1.  </w:t>
      </w:r>
      <w:r>
        <w:rPr>
          <w:b/>
        </w:rPr>
        <w:t>Scope.</w:t>
      </w:r>
      <w:r>
        <w:t xml:space="preserve"> Write: "All 120 staff accounts in the company's Microsoft 365 tenant, plus the 3 admin accounts, on 28 October 2026."</w:t>
      </w:r>
    </w:p>
    <w:p>
      <w:pPr>
        <w:spacing w:after="60"/>
        <w:ind w:left="510" w:hanging="340"/>
      </w:pPr>
      <w:r>
        <w:rPr>
          <w:b/>
          <w:color w:val="0B3B3C"/>
        </w:rPr>
        <w:t xml:space="preserve">2.  </w:t>
      </w:r>
      <w:r>
        <w:rPr>
          <w:b/>
        </w:rPr>
        <w:t>Select.</w:t>
      </w:r>
      <w:r>
        <w:t xml:space="preserve"> Framework library &gt; ISO/IEC 27001 &gt; select. The requirement A.8.5 links to control IAM-001.</w:t>
      </w:r>
    </w:p>
    <w:p>
      <w:pPr>
        <w:spacing w:after="60"/>
        <w:ind w:left="510" w:hanging="340"/>
      </w:pPr>
      <w:r>
        <w:rPr>
          <w:b/>
          <w:color w:val="0B3B3C"/>
        </w:rPr>
        <w:t xml:space="preserve">3.  </w:t>
      </w:r>
      <w:r>
        <w:rPr>
          <w:b/>
        </w:rPr>
        <w:t>Assign.</w:t>
      </w:r>
      <w:r>
        <w:t xml:space="preserve"> Owner: IT administrator. Due: 7 November. Reviewer: the security lead (a different person).</w:t>
      </w:r>
    </w:p>
    <w:p>
      <w:pPr>
        <w:spacing w:after="60"/>
        <w:ind w:left="510" w:hanging="340"/>
      </w:pPr>
      <w:r>
        <w:rPr>
          <w:b/>
          <w:color w:val="0B3B3C"/>
        </w:rPr>
        <w:t xml:space="preserve">4.  </w:t>
      </w:r>
      <w:r>
        <w:rPr>
          <w:b/>
        </w:rPr>
        <w:t>Connect.</w:t>
      </w:r>
      <w:r>
        <w:t xml:space="preserve"> Connect Microsoft 365 with the read-only option so IAM-MFA-001 runs on real data.</w:t>
      </w:r>
    </w:p>
    <w:p>
      <w:pPr>
        <w:spacing w:after="60"/>
        <w:ind w:left="510" w:hanging="340"/>
      </w:pPr>
      <w:r>
        <w:rPr>
          <w:b/>
          <w:color w:val="0B3B3C"/>
        </w:rPr>
        <w:t xml:space="preserve">5.  </w:t>
      </w:r>
      <w:r>
        <w:rPr>
          <w:b/>
        </w:rPr>
        <w:t>Capture.</w:t>
      </w:r>
      <w:r>
        <w:t xml:space="preserve"> Following the IAM-001 procedure the owner uploads </w:t>
      </w:r>
      <w:r>
        <w:rPr>
          <w:rFonts w:ascii="Consolas" w:hAnsi="Consolas" w:eastAsia="Consolas"/>
          <w:color w:val="0B5E4F"/>
        </w:rPr>
        <w:t>IAM-001_entra-registration-report_2026-10-28.pdf</w:t>
      </w:r>
      <w:r>
        <w:t xml:space="preserve">, </w:t>
      </w:r>
      <w:r>
        <w:rPr>
          <w:rFonts w:ascii="Consolas" w:hAnsi="Consolas" w:eastAsia="Consolas"/>
          <w:color w:val="0B5E4F"/>
        </w:rPr>
        <w:t>IAM-001_conditional-access-mfa-policy_2026-10-28.pdf</w:t>
      </w:r>
      <w:r>
        <w:t xml:space="preserve"> and </w:t>
      </w:r>
      <w:r>
        <w:rPr>
          <w:rFonts w:ascii="Consolas" w:hAnsi="Consolas" w:eastAsia="Consolas"/>
          <w:color w:val="0B5E4F"/>
        </w:rPr>
        <w:t>IAM-001_mfa-exceptions_2026-10-28.xlsx</w:t>
      </w:r>
      <w:r>
        <w:t>.</w:t>
      </w:r>
    </w:p>
    <w:p>
      <w:pPr>
        <w:spacing w:after="60"/>
        <w:ind w:left="510" w:hanging="340"/>
      </w:pPr>
      <w:r>
        <w:rPr>
          <w:b/>
          <w:color w:val="0B3B3C"/>
        </w:rPr>
        <w:t xml:space="preserve">6.  </w:t>
      </w:r>
      <w:r>
        <w:rPr>
          <w:b/>
        </w:rPr>
        <w:t>Automated result.</w:t>
      </w:r>
      <w:r>
        <w:t xml:space="preserve"> The check reports 118 of 120 users with MFA (98 %): </w:t>
      </w:r>
      <w:r>
        <w:rPr>
          <w:b/>
        </w:rPr>
        <w:t>Partly met</w:t>
      </w:r>
      <w:r>
        <w:t>. Two accounts have no MFA.</w:t>
      </w:r>
    </w:p>
    <w:p>
      <w:pPr>
        <w:spacing w:after="60"/>
        <w:ind w:left="510" w:hanging="340"/>
      </w:pPr>
      <w:r>
        <w:rPr>
          <w:b/>
          <w:color w:val="0B3B3C"/>
        </w:rPr>
        <w:t xml:space="preserve">7.  </w:t>
      </w:r>
      <w:r>
        <w:rPr>
          <w:b/>
        </w:rPr>
        <w:t>Review.</w:t>
      </w:r>
      <w:r>
        <w:t xml:space="preserve"> The reviewer applies the five tests: relevant (shows enforcement), current (today), complete (all 120 accounts), attributable (tenant name and export time shown), authentic (original export). Both uploaded reports are approved. The exceptions file lacks an expiry, so it is rejected with the note "add approver and end date for each exception".</w:t>
      </w:r>
    </w:p>
    <w:p>
      <w:pPr>
        <w:spacing w:after="60"/>
        <w:ind w:left="510" w:hanging="340"/>
      </w:pPr>
      <w:r>
        <w:rPr>
          <w:b/>
          <w:color w:val="0B3B3C"/>
        </w:rPr>
        <w:t xml:space="preserve">8.  </w:t>
      </w:r>
      <w:r>
        <w:rPr>
          <w:b/>
        </w:rPr>
        <w:t>Finding.</w:t>
      </w:r>
      <w:r>
        <w:t xml:space="preserve"> A high-severity finding is created: "2 accounts without MFA". Owner: IT administrator. Due: 14 days.</w:t>
      </w:r>
    </w:p>
    <w:p>
      <w:pPr>
        <w:spacing w:after="60"/>
        <w:ind w:left="510" w:hanging="340"/>
      </w:pPr>
      <w:r>
        <w:rPr>
          <w:b/>
          <w:color w:val="0B3B3C"/>
        </w:rPr>
        <w:t xml:space="preserve">9.  </w:t>
      </w:r>
      <w:r>
        <w:rPr>
          <w:b/>
        </w:rPr>
        <w:t>Remediate.</w:t>
      </w:r>
      <w:r>
        <w:t xml:space="preserve"> The owner enrols the two users and re-exports the report. The new file replaces the old one (status Replaced) and the exceptions file is approved with expiry dates.</w:t>
      </w:r>
    </w:p>
    <w:p>
      <w:pPr>
        <w:spacing w:after="60"/>
        <w:ind w:left="510" w:hanging="340"/>
      </w:pPr>
      <w:r>
        <w:rPr>
          <w:b/>
          <w:color w:val="0B3B3C"/>
        </w:rPr>
        <w:t xml:space="preserve">10.  </w:t>
      </w:r>
      <w:r>
        <w:rPr>
          <w:b/>
        </w:rPr>
        <w:t>Re-assess.</w:t>
      </w:r>
      <w:r>
        <w:t xml:space="preserve"> The check now shows 120 of 120 (100 %): </w:t>
      </w:r>
      <w:r>
        <w:rPr>
          <w:b/>
        </w:rPr>
        <w:t>Met</w:t>
      </w:r>
      <w:r>
        <w:t>. The finding is closed with the new report as proof.</w:t>
      </w:r>
    </w:p>
    <w:p>
      <w:pPr>
        <w:spacing w:after="60"/>
        <w:ind w:left="510" w:hanging="340"/>
      </w:pPr>
      <w:r>
        <w:rPr>
          <w:b/>
          <w:color w:val="0B3B3C"/>
        </w:rPr>
        <w:t xml:space="preserve">11.  </w:t>
      </w:r>
      <w:r>
        <w:rPr>
          <w:b/>
        </w:rPr>
        <w:t>Report.</w:t>
      </w:r>
      <w:r>
        <w:t xml:space="preserve"> The requirement shows Met in the report with the approved evidence listed and the earlier result kept for comparison.</w:t>
      </w:r>
    </w:p>
    <w:p>
      <w:pPr>
        <w:pStyle w:val="Heading2"/>
      </w:pPr>
      <w:r>
        <w:t>10. Evidence register: what to record for every item</w:t>
      </w:r>
    </w:p>
    <w:p>
      <w:r>
        <w:t>Keep one register (the app holds it, or export it to a sheet) with these columns, so an auditor can follow each item from requirement to proof.</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3213"/>
        <w:gridCol w:w="3213"/>
        <w:gridCol w:w="3213"/>
      </w:tblGrid>
      <w:tr>
        <w:trPr>
          <w:tblHeader w:val="true"/>
        </w:trPr>
        <w:tc>
          <w:tcPr>
            <w:tcW w:type="dxa" w:w="2349"/>
            <w:shd w:val="clear" w:color="auto" w:fill="0B3B3C"/>
            <w:tcMar>
              <w:top w:w="60" w:type="dxa"/>
              <w:left w:w="90" w:type="dxa"/>
              <w:bottom w:w="60" w:type="dxa"/>
              <w:right w:w="90" w:type="dxa"/>
            </w:tcMar>
          </w:tcPr>
          <w:p>
            <w:pPr>
              <w:spacing w:after="0"/>
            </w:pPr>
            <w:r>
              <w:rPr>
                <w:b/>
                <w:color w:val="FFFFFF"/>
                <w:sz w:val="19"/>
              </w:rPr>
              <w:t>Column</w:t>
            </w:r>
          </w:p>
        </w:tc>
        <w:tc>
          <w:tcPr>
            <w:tcW w:type="dxa" w:w="2685"/>
            <w:shd w:val="clear" w:color="auto" w:fill="0B3B3C"/>
            <w:tcMar>
              <w:top w:w="60" w:type="dxa"/>
              <w:left w:w="90" w:type="dxa"/>
              <w:bottom w:w="60" w:type="dxa"/>
              <w:right w:w="90" w:type="dxa"/>
            </w:tcMar>
          </w:tcPr>
          <w:p>
            <w:pPr>
              <w:spacing w:after="0"/>
            </w:pPr>
            <w:r>
              <w:rPr>
                <w:b/>
                <w:color w:val="FFFFFF"/>
                <w:sz w:val="19"/>
              </w:rPr>
              <w:t>Meaning</w:t>
            </w:r>
          </w:p>
        </w:tc>
        <w:tc>
          <w:tcPr>
            <w:tcW w:type="dxa" w:w="4603"/>
            <w:shd w:val="clear" w:color="auto" w:fill="0B3B3C"/>
            <w:tcMar>
              <w:top w:w="60" w:type="dxa"/>
              <w:left w:w="90" w:type="dxa"/>
              <w:bottom w:w="60" w:type="dxa"/>
              <w:right w:w="90" w:type="dxa"/>
            </w:tcMar>
          </w:tcPr>
          <w:p>
            <w:pPr>
              <w:spacing w:after="0"/>
            </w:pPr>
            <w:r>
              <w:rPr>
                <w:b/>
                <w:color w:val="FFFFFF"/>
                <w:sz w:val="19"/>
              </w:rPr>
              <w:t>Example</w:t>
            </w:r>
          </w:p>
        </w:tc>
      </w:tr>
      <w:tr>
        <w:trPr>
          <w:cantSplit w:val="true"/>
        </w:trPr>
        <w:tc>
          <w:tcPr>
            <w:tcW w:type="dxa" w:w="2349"/>
            <w:tcMar>
              <w:top w:w="60" w:type="dxa"/>
              <w:left w:w="90" w:type="dxa"/>
              <w:bottom w:w="60" w:type="dxa"/>
              <w:right w:w="90" w:type="dxa"/>
            </w:tcMar>
          </w:tcPr>
          <w:p>
            <w:pPr>
              <w:spacing w:after="0"/>
            </w:pPr>
            <w:r>
              <w:rPr>
                <w:sz w:val="19"/>
              </w:rPr>
              <w:t>Evidence ID</w:t>
            </w:r>
          </w:p>
        </w:tc>
        <w:tc>
          <w:tcPr>
            <w:tcW w:type="dxa" w:w="2685"/>
            <w:tcMar>
              <w:top w:w="60" w:type="dxa"/>
              <w:left w:w="90" w:type="dxa"/>
              <w:bottom w:w="60" w:type="dxa"/>
              <w:right w:w="90" w:type="dxa"/>
            </w:tcMar>
          </w:tcPr>
          <w:p>
            <w:pPr>
              <w:spacing w:after="0"/>
            </w:pPr>
            <w:r>
              <w:rPr>
                <w:sz w:val="19"/>
              </w:rPr>
              <w:t>Unique number from the app</w:t>
            </w:r>
          </w:p>
        </w:tc>
        <w:tc>
          <w:tcPr>
            <w:tcW w:type="dxa" w:w="4603"/>
            <w:tcMar>
              <w:top w:w="60" w:type="dxa"/>
              <w:left w:w="90" w:type="dxa"/>
              <w:bottom w:w="60" w:type="dxa"/>
              <w:right w:w="90" w:type="dxa"/>
            </w:tcMar>
          </w:tcPr>
          <w:p>
            <w:pPr>
              <w:spacing w:after="0"/>
            </w:pPr>
            <w:r>
              <w:rPr>
                <w:sz w:val="19"/>
              </w:rPr>
              <w:t>EV-0042</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Control</w:t>
            </w:r>
          </w:p>
        </w:tc>
        <w:tc>
          <w:tcPr>
            <w:tcW w:type="dxa" w:w="2685"/>
            <w:tcMar>
              <w:top w:w="60" w:type="dxa"/>
              <w:left w:w="90" w:type="dxa"/>
              <w:bottom w:w="60" w:type="dxa"/>
              <w:right w:w="90" w:type="dxa"/>
            </w:tcMar>
            <w:shd w:val="clear" w:color="auto" w:fill="F2F7F6"/>
          </w:tcPr>
          <w:p>
            <w:pPr>
              <w:spacing w:after="0"/>
            </w:pPr>
            <w:r>
              <w:rPr>
                <w:sz w:val="19"/>
              </w:rPr>
              <w:t>Control code</w:t>
            </w:r>
          </w:p>
        </w:tc>
        <w:tc>
          <w:tcPr>
            <w:tcW w:type="dxa" w:w="4603"/>
            <w:tcMar>
              <w:top w:w="60" w:type="dxa"/>
              <w:left w:w="90" w:type="dxa"/>
              <w:bottom w:w="60" w:type="dxa"/>
              <w:right w:w="90" w:type="dxa"/>
            </w:tcMar>
            <w:shd w:val="clear" w:color="auto" w:fill="F2F7F6"/>
          </w:tcPr>
          <w:p>
            <w:pPr>
              <w:spacing w:after="0"/>
            </w:pPr>
            <w:r>
              <w:rPr>
                <w:sz w:val="19"/>
              </w:rPr>
              <w:t>IAM-001</w:t>
            </w:r>
          </w:p>
        </w:tc>
      </w:tr>
      <w:tr>
        <w:trPr>
          <w:cantSplit w:val="true"/>
        </w:trPr>
        <w:tc>
          <w:tcPr>
            <w:tcW w:type="dxa" w:w="2349"/>
            <w:tcMar>
              <w:top w:w="60" w:type="dxa"/>
              <w:left w:w="90" w:type="dxa"/>
              <w:bottom w:w="60" w:type="dxa"/>
              <w:right w:w="90" w:type="dxa"/>
            </w:tcMar>
          </w:tcPr>
          <w:p>
            <w:pPr>
              <w:spacing w:after="0"/>
            </w:pPr>
            <w:r>
              <w:rPr>
                <w:sz w:val="19"/>
              </w:rPr>
              <w:t>Requirements supported</w:t>
            </w:r>
          </w:p>
        </w:tc>
        <w:tc>
          <w:tcPr>
            <w:tcW w:type="dxa" w:w="2685"/>
            <w:tcMar>
              <w:top w:w="60" w:type="dxa"/>
              <w:left w:w="90" w:type="dxa"/>
              <w:bottom w:w="60" w:type="dxa"/>
              <w:right w:w="90" w:type="dxa"/>
            </w:tcMar>
          </w:tcPr>
          <w:p>
            <w:pPr>
              <w:spacing w:after="0"/>
            </w:pPr>
            <w:r>
              <w:rPr>
                <w:sz w:val="19"/>
              </w:rPr>
              <w:t>Where it counts</w:t>
            </w:r>
          </w:p>
        </w:tc>
        <w:tc>
          <w:tcPr>
            <w:tcW w:type="dxa" w:w="4603"/>
            <w:tcMar>
              <w:top w:w="60" w:type="dxa"/>
              <w:left w:w="90" w:type="dxa"/>
              <w:bottom w:w="60" w:type="dxa"/>
              <w:right w:w="90" w:type="dxa"/>
            </w:tcMar>
          </w:tcPr>
          <w:p>
            <w:pPr>
              <w:spacing w:after="0"/>
            </w:pPr>
            <w:r>
              <w:rPr>
                <w:sz w:val="19"/>
              </w:rPr>
              <w:t>ISO A.8.5, SOC 2 CC6, NIST PR.AA, CIS-6, DPDP S8(5)</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Title and file name</w:t>
            </w:r>
          </w:p>
        </w:tc>
        <w:tc>
          <w:tcPr>
            <w:tcW w:type="dxa" w:w="2685"/>
            <w:tcMar>
              <w:top w:w="60" w:type="dxa"/>
              <w:left w:w="90" w:type="dxa"/>
              <w:bottom w:w="60" w:type="dxa"/>
              <w:right w:w="90" w:type="dxa"/>
            </w:tcMar>
            <w:shd w:val="clear" w:color="auto" w:fill="F2F7F6"/>
          </w:tcPr>
          <w:p>
            <w:pPr>
              <w:spacing w:after="0"/>
            </w:pPr>
            <w:r>
              <w:rPr>
                <w:sz w:val="19"/>
              </w:rPr>
              <w:t>What it is</w:t>
            </w:r>
          </w:p>
        </w:tc>
        <w:tc>
          <w:tcPr>
            <w:tcW w:type="dxa" w:w="4603"/>
            <w:tcMar>
              <w:top w:w="60" w:type="dxa"/>
              <w:left w:w="90" w:type="dxa"/>
              <w:bottom w:w="60" w:type="dxa"/>
              <w:right w:w="90" w:type="dxa"/>
            </w:tcMar>
            <w:shd w:val="clear" w:color="auto" w:fill="F2F7F6"/>
          </w:tcPr>
          <w:p>
            <w:pPr>
              <w:spacing w:after="0"/>
            </w:pPr>
            <w:r>
              <w:rPr>
                <w:sz w:val="19"/>
              </w:rPr>
              <w:t>Entra registration report</w:t>
            </w:r>
          </w:p>
        </w:tc>
      </w:tr>
      <w:tr>
        <w:trPr>
          <w:cantSplit w:val="true"/>
        </w:trPr>
        <w:tc>
          <w:tcPr>
            <w:tcW w:type="dxa" w:w="2349"/>
            <w:tcMar>
              <w:top w:w="60" w:type="dxa"/>
              <w:left w:w="90" w:type="dxa"/>
              <w:bottom w:w="60" w:type="dxa"/>
              <w:right w:w="90" w:type="dxa"/>
            </w:tcMar>
          </w:tcPr>
          <w:p>
            <w:pPr>
              <w:spacing w:after="0"/>
            </w:pPr>
            <w:r>
              <w:rPr>
                <w:sz w:val="19"/>
              </w:rPr>
              <w:t>Source system</w:t>
            </w:r>
          </w:p>
        </w:tc>
        <w:tc>
          <w:tcPr>
            <w:tcW w:type="dxa" w:w="2685"/>
            <w:tcMar>
              <w:top w:w="60" w:type="dxa"/>
              <w:left w:w="90" w:type="dxa"/>
              <w:bottom w:w="60" w:type="dxa"/>
              <w:right w:w="90" w:type="dxa"/>
            </w:tcMar>
          </w:tcPr>
          <w:p>
            <w:pPr>
              <w:spacing w:after="0"/>
            </w:pPr>
            <w:r>
              <w:rPr>
                <w:sz w:val="19"/>
              </w:rPr>
              <w:t>Where it was exported</w:t>
            </w:r>
          </w:p>
        </w:tc>
        <w:tc>
          <w:tcPr>
            <w:tcW w:type="dxa" w:w="4603"/>
            <w:tcMar>
              <w:top w:w="60" w:type="dxa"/>
              <w:left w:w="90" w:type="dxa"/>
              <w:bottom w:w="60" w:type="dxa"/>
              <w:right w:w="90" w:type="dxa"/>
            </w:tcMar>
          </w:tcPr>
          <w:p>
            <w:pPr>
              <w:spacing w:after="0"/>
            </w:pPr>
            <w:r>
              <w:rPr>
                <w:sz w:val="19"/>
              </w:rPr>
              <w:t>Microsoft Entra admin centre</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Produced by</w:t>
            </w:r>
          </w:p>
        </w:tc>
        <w:tc>
          <w:tcPr>
            <w:tcW w:type="dxa" w:w="2685"/>
            <w:tcMar>
              <w:top w:w="60" w:type="dxa"/>
              <w:left w:w="90" w:type="dxa"/>
              <w:bottom w:w="60" w:type="dxa"/>
              <w:right w:w="90" w:type="dxa"/>
            </w:tcMar>
            <w:shd w:val="clear" w:color="auto" w:fill="F2F7F6"/>
          </w:tcPr>
          <w:p>
            <w:pPr>
              <w:spacing w:after="0"/>
            </w:pPr>
            <w:r>
              <w:rPr>
                <w:sz w:val="19"/>
              </w:rPr>
              <w:t>Person who exported it</w:t>
            </w:r>
          </w:p>
        </w:tc>
        <w:tc>
          <w:tcPr>
            <w:tcW w:type="dxa" w:w="4603"/>
            <w:tcMar>
              <w:top w:w="60" w:type="dxa"/>
              <w:left w:w="90" w:type="dxa"/>
              <w:bottom w:w="60" w:type="dxa"/>
              <w:right w:w="90" w:type="dxa"/>
            </w:tcMar>
            <w:shd w:val="clear" w:color="auto" w:fill="F2F7F6"/>
          </w:tcPr>
          <w:p>
            <w:pPr>
              <w:spacing w:after="0"/>
            </w:pPr>
            <w:r>
              <w:rPr>
                <w:sz w:val="19"/>
              </w:rPr>
              <w:t>Priya (IT administrator)</w:t>
            </w:r>
          </w:p>
        </w:tc>
      </w:tr>
      <w:tr>
        <w:trPr>
          <w:cantSplit w:val="true"/>
        </w:trPr>
        <w:tc>
          <w:tcPr>
            <w:tcW w:type="dxa" w:w="2349"/>
            <w:tcMar>
              <w:top w:w="60" w:type="dxa"/>
              <w:left w:w="90" w:type="dxa"/>
              <w:bottom w:w="60" w:type="dxa"/>
              <w:right w:w="90" w:type="dxa"/>
            </w:tcMar>
          </w:tcPr>
          <w:p>
            <w:pPr>
              <w:spacing w:after="0"/>
            </w:pPr>
            <w:r>
              <w:rPr>
                <w:sz w:val="19"/>
              </w:rPr>
              <w:t>Date produced</w:t>
            </w:r>
          </w:p>
        </w:tc>
        <w:tc>
          <w:tcPr>
            <w:tcW w:type="dxa" w:w="2685"/>
            <w:tcMar>
              <w:top w:w="60" w:type="dxa"/>
              <w:left w:w="90" w:type="dxa"/>
              <w:bottom w:w="60" w:type="dxa"/>
              <w:right w:w="90" w:type="dxa"/>
            </w:tcMar>
          </w:tcPr>
          <w:p>
            <w:pPr>
              <w:spacing w:after="0"/>
            </w:pPr>
            <w:r>
              <w:rPr>
                <w:sz w:val="19"/>
              </w:rPr>
              <w:t>When</w:t>
            </w:r>
          </w:p>
        </w:tc>
        <w:tc>
          <w:tcPr>
            <w:tcW w:type="dxa" w:w="4603"/>
            <w:tcMar>
              <w:top w:w="60" w:type="dxa"/>
              <w:left w:w="90" w:type="dxa"/>
              <w:bottom w:w="60" w:type="dxa"/>
              <w:right w:w="90" w:type="dxa"/>
            </w:tcMar>
          </w:tcPr>
          <w:p>
            <w:pPr>
              <w:spacing w:after="0"/>
            </w:pPr>
            <w:r>
              <w:rPr>
                <w:sz w:val="19"/>
              </w:rPr>
              <w:t>28 Oct 2026</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Period covered</w:t>
            </w:r>
          </w:p>
        </w:tc>
        <w:tc>
          <w:tcPr>
            <w:tcW w:type="dxa" w:w="2685"/>
            <w:tcMar>
              <w:top w:w="60" w:type="dxa"/>
              <w:left w:w="90" w:type="dxa"/>
              <w:bottom w:w="60" w:type="dxa"/>
              <w:right w:w="90" w:type="dxa"/>
            </w:tcMar>
            <w:shd w:val="clear" w:color="auto" w:fill="F2F7F6"/>
          </w:tcPr>
          <w:p>
            <w:pPr>
              <w:spacing w:after="0"/>
            </w:pPr>
            <w:r>
              <w:rPr>
                <w:sz w:val="19"/>
              </w:rPr>
              <w:t>The time it describes</w:t>
            </w:r>
          </w:p>
        </w:tc>
        <w:tc>
          <w:tcPr>
            <w:tcW w:type="dxa" w:w="4603"/>
            <w:tcMar>
              <w:top w:w="60" w:type="dxa"/>
              <w:left w:w="90" w:type="dxa"/>
              <w:bottom w:w="60" w:type="dxa"/>
              <w:right w:w="90" w:type="dxa"/>
            </w:tcMar>
            <w:shd w:val="clear" w:color="auto" w:fill="F2F7F6"/>
          </w:tcPr>
          <w:p>
            <w:pPr>
              <w:spacing w:after="0"/>
            </w:pPr>
            <w:r>
              <w:rPr>
                <w:sz w:val="19"/>
              </w:rPr>
              <w:t>Snapshot 28 Oct 2026</w:t>
            </w:r>
          </w:p>
        </w:tc>
      </w:tr>
      <w:tr>
        <w:trPr>
          <w:cantSplit w:val="true"/>
        </w:trPr>
        <w:tc>
          <w:tcPr>
            <w:tcW w:type="dxa" w:w="2349"/>
            <w:tcMar>
              <w:top w:w="60" w:type="dxa"/>
              <w:left w:w="90" w:type="dxa"/>
              <w:bottom w:w="60" w:type="dxa"/>
              <w:right w:w="90" w:type="dxa"/>
            </w:tcMar>
          </w:tcPr>
          <w:p>
            <w:pPr>
              <w:spacing w:after="0"/>
            </w:pPr>
            <w:r>
              <w:rPr>
                <w:sz w:val="19"/>
              </w:rPr>
              <w:t>Scope covered</w:t>
            </w:r>
          </w:p>
        </w:tc>
        <w:tc>
          <w:tcPr>
            <w:tcW w:type="dxa" w:w="2685"/>
            <w:tcMar>
              <w:top w:w="60" w:type="dxa"/>
              <w:left w:w="90" w:type="dxa"/>
              <w:bottom w:w="60" w:type="dxa"/>
              <w:right w:w="90" w:type="dxa"/>
            </w:tcMar>
          </w:tcPr>
          <w:p>
            <w:pPr>
              <w:spacing w:after="0"/>
            </w:pPr>
            <w:r>
              <w:rPr>
                <w:sz w:val="19"/>
              </w:rPr>
              <w:t>What it includes</w:t>
            </w:r>
          </w:p>
        </w:tc>
        <w:tc>
          <w:tcPr>
            <w:tcW w:type="dxa" w:w="4603"/>
            <w:tcMar>
              <w:top w:w="60" w:type="dxa"/>
              <w:left w:w="90" w:type="dxa"/>
              <w:bottom w:w="60" w:type="dxa"/>
              <w:right w:w="90" w:type="dxa"/>
            </w:tcMar>
          </w:tcPr>
          <w:p>
            <w:pPr>
              <w:spacing w:after="0"/>
            </w:pPr>
            <w:r>
              <w:rPr>
                <w:sz w:val="19"/>
              </w:rPr>
              <w:t>120 staff and 3 admins</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Scan status</w:t>
            </w:r>
          </w:p>
        </w:tc>
        <w:tc>
          <w:tcPr>
            <w:tcW w:type="dxa" w:w="2685"/>
            <w:tcMar>
              <w:top w:w="60" w:type="dxa"/>
              <w:left w:w="90" w:type="dxa"/>
              <w:bottom w:w="60" w:type="dxa"/>
              <w:right w:w="90" w:type="dxa"/>
            </w:tcMar>
            <w:shd w:val="clear" w:color="auto" w:fill="F2F7F6"/>
          </w:tcPr>
          <w:p>
            <w:pPr>
              <w:spacing w:after="0"/>
            </w:pPr>
            <w:r>
              <w:rPr>
                <w:sz w:val="19"/>
              </w:rPr>
              <w:t>Result of upload checks</w:t>
            </w:r>
          </w:p>
        </w:tc>
        <w:tc>
          <w:tcPr>
            <w:tcW w:type="dxa" w:w="4603"/>
            <w:tcMar>
              <w:top w:w="60" w:type="dxa"/>
              <w:left w:w="90" w:type="dxa"/>
              <w:bottom w:w="60" w:type="dxa"/>
              <w:right w:w="90" w:type="dxa"/>
            </w:tcMar>
            <w:shd w:val="clear" w:color="auto" w:fill="F2F7F6"/>
          </w:tcPr>
          <w:p>
            <w:pPr>
              <w:spacing w:after="0"/>
            </w:pPr>
            <w:r>
              <w:rPr>
                <w:sz w:val="19"/>
              </w:rPr>
              <w:t>Clean</w:t>
            </w:r>
          </w:p>
        </w:tc>
      </w:tr>
      <w:tr>
        <w:trPr>
          <w:cantSplit w:val="true"/>
        </w:trPr>
        <w:tc>
          <w:tcPr>
            <w:tcW w:type="dxa" w:w="2349"/>
            <w:tcMar>
              <w:top w:w="60" w:type="dxa"/>
              <w:left w:w="90" w:type="dxa"/>
              <w:bottom w:w="60" w:type="dxa"/>
              <w:right w:w="90" w:type="dxa"/>
            </w:tcMar>
          </w:tcPr>
          <w:p>
            <w:pPr>
              <w:spacing w:after="0"/>
            </w:pPr>
            <w:r>
              <w:rPr>
                <w:sz w:val="19"/>
              </w:rPr>
              <w:t>Reviewer and decision</w:t>
            </w:r>
          </w:p>
        </w:tc>
        <w:tc>
          <w:tcPr>
            <w:tcW w:type="dxa" w:w="2685"/>
            <w:tcMar>
              <w:top w:w="60" w:type="dxa"/>
              <w:left w:w="90" w:type="dxa"/>
              <w:bottom w:w="60" w:type="dxa"/>
              <w:right w:w="90" w:type="dxa"/>
            </w:tcMar>
          </w:tcPr>
          <w:p>
            <w:pPr>
              <w:spacing w:after="0"/>
            </w:pPr>
            <w:r>
              <w:rPr>
                <w:sz w:val="19"/>
              </w:rPr>
              <w:t>Who validated</w:t>
            </w:r>
          </w:p>
        </w:tc>
        <w:tc>
          <w:tcPr>
            <w:tcW w:type="dxa" w:w="4603"/>
            <w:tcMar>
              <w:top w:w="60" w:type="dxa"/>
              <w:left w:w="90" w:type="dxa"/>
              <w:bottom w:w="60" w:type="dxa"/>
              <w:right w:w="90" w:type="dxa"/>
            </w:tcMar>
          </w:tcPr>
          <w:p>
            <w:pPr>
              <w:spacing w:after="0"/>
            </w:pPr>
            <w:r>
              <w:rPr>
                <w:sz w:val="19"/>
              </w:rPr>
              <w:t>Security lead, Approved</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Review note</w:t>
            </w:r>
          </w:p>
        </w:tc>
        <w:tc>
          <w:tcPr>
            <w:tcW w:type="dxa" w:w="2685"/>
            <w:tcMar>
              <w:top w:w="60" w:type="dxa"/>
              <w:left w:w="90" w:type="dxa"/>
              <w:bottom w:w="60" w:type="dxa"/>
              <w:right w:w="90" w:type="dxa"/>
            </w:tcMar>
            <w:shd w:val="clear" w:color="auto" w:fill="F2F7F6"/>
          </w:tcPr>
          <w:p>
            <w:pPr>
              <w:spacing w:after="0"/>
            </w:pPr>
            <w:r>
              <w:rPr>
                <w:sz w:val="19"/>
              </w:rPr>
              <w:t>Why</w:t>
            </w:r>
          </w:p>
        </w:tc>
        <w:tc>
          <w:tcPr>
            <w:tcW w:type="dxa" w:w="4603"/>
            <w:tcMar>
              <w:top w:w="60" w:type="dxa"/>
              <w:left w:w="90" w:type="dxa"/>
              <w:bottom w:w="60" w:type="dxa"/>
              <w:right w:w="90" w:type="dxa"/>
            </w:tcMar>
            <w:shd w:val="clear" w:color="auto" w:fill="F2F7F6"/>
          </w:tcPr>
          <w:p>
            <w:pPr>
              <w:spacing w:after="0"/>
            </w:pPr>
            <w:r>
              <w:rPr>
                <w:sz w:val="19"/>
              </w:rPr>
              <w:t>Complete and current</w:t>
            </w:r>
          </w:p>
        </w:tc>
      </w:tr>
      <w:tr>
        <w:trPr>
          <w:cantSplit w:val="true"/>
        </w:trPr>
        <w:tc>
          <w:tcPr>
            <w:tcW w:type="dxa" w:w="2349"/>
            <w:tcMar>
              <w:top w:w="60" w:type="dxa"/>
              <w:left w:w="90" w:type="dxa"/>
              <w:bottom w:w="60" w:type="dxa"/>
              <w:right w:w="90" w:type="dxa"/>
            </w:tcMar>
          </w:tcPr>
          <w:p>
            <w:pPr>
              <w:spacing w:after="0"/>
            </w:pPr>
            <w:r>
              <w:rPr>
                <w:sz w:val="19"/>
              </w:rPr>
              <w:t>Expiry</w:t>
            </w:r>
          </w:p>
        </w:tc>
        <w:tc>
          <w:tcPr>
            <w:tcW w:type="dxa" w:w="2685"/>
            <w:tcMar>
              <w:top w:w="60" w:type="dxa"/>
              <w:left w:w="90" w:type="dxa"/>
              <w:bottom w:w="60" w:type="dxa"/>
              <w:right w:w="90" w:type="dxa"/>
            </w:tcMar>
          </w:tcPr>
          <w:p>
            <w:pPr>
              <w:spacing w:after="0"/>
            </w:pPr>
            <w:r>
              <w:rPr>
                <w:sz w:val="19"/>
              </w:rPr>
              <w:t>When it must be renewed</w:t>
            </w:r>
          </w:p>
        </w:tc>
        <w:tc>
          <w:tcPr>
            <w:tcW w:type="dxa" w:w="4603"/>
            <w:tcMar>
              <w:top w:w="60" w:type="dxa"/>
              <w:left w:w="90" w:type="dxa"/>
              <w:bottom w:w="60" w:type="dxa"/>
              <w:right w:w="90" w:type="dxa"/>
            </w:tcMar>
          </w:tcPr>
          <w:p>
            <w:pPr>
              <w:spacing w:after="0"/>
            </w:pPr>
            <w:r>
              <w:rPr>
                <w:sz w:val="19"/>
              </w:rPr>
              <w:t>28 Jan 2027 (quarterly)</w:t>
            </w:r>
          </w:p>
        </w:tc>
      </w:tr>
      <w:tr>
        <w:trPr>
          <w:cantSplit w:val="true"/>
        </w:trPr>
        <w:tc>
          <w:tcPr>
            <w:tcW w:type="dxa" w:w="2349"/>
            <w:tcMar>
              <w:top w:w="60" w:type="dxa"/>
              <w:left w:w="90" w:type="dxa"/>
              <w:bottom w:w="60" w:type="dxa"/>
              <w:right w:w="90" w:type="dxa"/>
            </w:tcMar>
            <w:shd w:val="clear" w:color="auto" w:fill="F2F7F6"/>
          </w:tcPr>
          <w:p>
            <w:pPr>
              <w:spacing w:after="0"/>
            </w:pPr>
            <w:r>
              <w:rPr>
                <w:sz w:val="19"/>
              </w:rPr>
              <w:t>Status</w:t>
            </w:r>
          </w:p>
        </w:tc>
        <w:tc>
          <w:tcPr>
            <w:tcW w:type="dxa" w:w="2685"/>
            <w:tcMar>
              <w:top w:w="60" w:type="dxa"/>
              <w:left w:w="90" w:type="dxa"/>
              <w:bottom w:w="60" w:type="dxa"/>
              <w:right w:w="90" w:type="dxa"/>
            </w:tcMar>
            <w:shd w:val="clear" w:color="auto" w:fill="F2F7F6"/>
          </w:tcPr>
          <w:p>
            <w:pPr>
              <w:spacing w:after="0"/>
            </w:pPr>
            <w:r>
              <w:rPr>
                <w:sz w:val="19"/>
              </w:rPr>
              <w:t>Life cycle</w:t>
            </w:r>
          </w:p>
        </w:tc>
        <w:tc>
          <w:tcPr>
            <w:tcW w:type="dxa" w:w="4603"/>
            <w:tcMar>
              <w:top w:w="60" w:type="dxa"/>
              <w:left w:w="90" w:type="dxa"/>
              <w:bottom w:w="60" w:type="dxa"/>
              <w:right w:w="90" w:type="dxa"/>
            </w:tcMar>
            <w:shd w:val="clear" w:color="auto" w:fill="F2F7F6"/>
          </w:tcPr>
          <w:p>
            <w:pPr>
              <w:spacing w:after="0"/>
            </w:pPr>
            <w:r>
              <w:rPr>
                <w:sz w:val="19"/>
              </w:rPr>
              <w:t>Approved</w:t>
            </w:r>
          </w:p>
        </w:tc>
      </w:tr>
    </w:tbl>
    <w:p>
      <w:pPr>
        <w:spacing w:after="40"/>
      </w:pPr>
    </w:p>
    <w:p>
      <w:pPr>
        <w:pStyle w:val="Heading2"/>
      </w:pPr>
      <w:r>
        <w:t>11. Frequency calendar: keep the result true all year</w:t>
      </w:r>
    </w:p>
    <w:tbl>
      <w:tblPr>
        <w:tblW w:type="auto" w:w="0"/>
        <w:jc w:val="center"/>
        <w:tblLayout w:type="fixed"/>
        <w:tblLook w:firstColumn="1" w:firstRow="1" w:lastColumn="0" w:lastRow="0" w:noHBand="0" w:noVBand="1" w:val="04A0"/>
        <w:tblBorders>
          <w:top w:val="single" w:sz="4" w:space="0" w:color="C9D6D3"/>
          <w:left w:val="single" w:sz="4" w:space="0" w:color="C9D6D3"/>
          <w:bottom w:val="single" w:sz="4" w:space="0" w:color="C9D6D3"/>
          <w:right w:val="single" w:sz="4" w:space="0" w:color="C9D6D3"/>
          <w:insideH w:val="single" w:sz="4" w:space="0" w:color="C9D6D3"/>
          <w:insideV w:val="single" w:sz="4" w:space="0" w:color="C9D6D3"/>
        </w:tblBorders>
      </w:tblPr>
      <w:tblGrid>
        <w:gridCol w:w="4819"/>
        <w:gridCol w:w="4819"/>
      </w:tblGrid>
      <w:tr>
        <w:trPr>
          <w:tblHeader w:val="true"/>
        </w:trPr>
        <w:tc>
          <w:tcPr>
            <w:tcW w:type="dxa" w:w="2293"/>
            <w:shd w:val="clear" w:color="auto" w:fill="0B3B3C"/>
            <w:tcMar>
              <w:top w:w="60" w:type="dxa"/>
              <w:left w:w="90" w:type="dxa"/>
              <w:bottom w:w="60" w:type="dxa"/>
              <w:right w:w="90" w:type="dxa"/>
            </w:tcMar>
          </w:tcPr>
          <w:p>
            <w:pPr>
              <w:spacing w:after="0"/>
            </w:pPr>
            <w:r>
              <w:rPr>
                <w:b/>
                <w:color w:val="FFFFFF"/>
                <w:sz w:val="19"/>
              </w:rPr>
              <w:t>When</w:t>
            </w:r>
          </w:p>
        </w:tc>
        <w:tc>
          <w:tcPr>
            <w:tcW w:type="dxa" w:w="7345"/>
            <w:shd w:val="clear" w:color="auto" w:fill="0B3B3C"/>
            <w:tcMar>
              <w:top w:w="60" w:type="dxa"/>
              <w:left w:w="90" w:type="dxa"/>
              <w:bottom w:w="60" w:type="dxa"/>
              <w:right w:w="90" w:type="dxa"/>
            </w:tcMar>
          </w:tcPr>
          <w:p>
            <w:pPr>
              <w:spacing w:after="0"/>
            </w:pPr>
            <w:r>
              <w:rPr>
                <w:b/>
                <w:color w:val="FFFFFF"/>
                <w:sz w:val="19"/>
              </w:rPr>
              <w:t>What</w:t>
            </w:r>
          </w:p>
        </w:tc>
      </w:tr>
      <w:tr>
        <w:trPr>
          <w:cantSplit w:val="true"/>
        </w:trPr>
        <w:tc>
          <w:tcPr>
            <w:tcW w:type="dxa" w:w="2293"/>
            <w:tcMar>
              <w:top w:w="60" w:type="dxa"/>
              <w:left w:w="90" w:type="dxa"/>
              <w:bottom w:w="60" w:type="dxa"/>
              <w:right w:w="90" w:type="dxa"/>
            </w:tcMar>
          </w:tcPr>
          <w:p>
            <w:pPr>
              <w:spacing w:after="0"/>
            </w:pPr>
            <w:r>
              <w:rPr>
                <w:sz w:val="19"/>
              </w:rPr>
              <w:t>Daily</w:t>
            </w:r>
          </w:p>
        </w:tc>
        <w:tc>
          <w:tcPr>
            <w:tcW w:type="dxa" w:w="7345"/>
            <w:tcMar>
              <w:top w:w="60" w:type="dxa"/>
              <w:left w:w="90" w:type="dxa"/>
              <w:bottom w:w="60" w:type="dxa"/>
              <w:right w:w="90" w:type="dxa"/>
            </w:tcMar>
          </w:tcPr>
          <w:p>
            <w:pPr>
              <w:spacing w:after="0"/>
            </w:pPr>
            <w:r>
              <w:rPr>
                <w:sz w:val="19"/>
              </w:rPr>
              <w:t>Automated checks run (if connected); review new high findings</w:t>
            </w:r>
          </w:p>
        </w:tc>
      </w:tr>
      <w:tr>
        <w:trPr>
          <w:cantSplit w:val="true"/>
        </w:trPr>
        <w:tc>
          <w:tcPr>
            <w:tcW w:type="dxa" w:w="2293"/>
            <w:tcMar>
              <w:top w:w="60" w:type="dxa"/>
              <w:left w:w="90" w:type="dxa"/>
              <w:bottom w:w="60" w:type="dxa"/>
              <w:right w:w="90" w:type="dxa"/>
            </w:tcMar>
            <w:shd w:val="clear" w:color="auto" w:fill="F2F7F6"/>
          </w:tcPr>
          <w:p>
            <w:pPr>
              <w:spacing w:after="0"/>
            </w:pPr>
            <w:r>
              <w:rPr>
                <w:sz w:val="19"/>
              </w:rPr>
              <w:t>Weekly</w:t>
            </w:r>
          </w:p>
        </w:tc>
        <w:tc>
          <w:tcPr>
            <w:tcW w:type="dxa" w:w="7345"/>
            <w:tcMar>
              <w:top w:w="60" w:type="dxa"/>
              <w:left w:w="90" w:type="dxa"/>
              <w:bottom w:w="60" w:type="dxa"/>
              <w:right w:w="90" w:type="dxa"/>
            </w:tcMar>
            <w:shd w:val="clear" w:color="auto" w:fill="F2F7F6"/>
          </w:tcPr>
          <w:p>
            <w:pPr>
              <w:spacing w:after="0"/>
            </w:pPr>
            <w:r>
              <w:rPr>
                <w:sz w:val="19"/>
              </w:rPr>
              <w:t>Review security alerts; check backup job results</w:t>
            </w:r>
          </w:p>
        </w:tc>
      </w:tr>
      <w:tr>
        <w:trPr>
          <w:cantSplit w:val="true"/>
        </w:trPr>
        <w:tc>
          <w:tcPr>
            <w:tcW w:type="dxa" w:w="2293"/>
            <w:tcMar>
              <w:top w:w="60" w:type="dxa"/>
              <w:left w:w="90" w:type="dxa"/>
              <w:bottom w:w="60" w:type="dxa"/>
              <w:right w:w="90" w:type="dxa"/>
            </w:tcMar>
          </w:tcPr>
          <w:p>
            <w:pPr>
              <w:spacing w:after="0"/>
            </w:pPr>
            <w:r>
              <w:rPr>
                <w:sz w:val="19"/>
              </w:rPr>
              <w:t>Monthly</w:t>
            </w:r>
          </w:p>
        </w:tc>
        <w:tc>
          <w:tcPr>
            <w:tcW w:type="dxa" w:w="7345"/>
            <w:tcMar>
              <w:top w:w="60" w:type="dxa"/>
              <w:left w:w="90" w:type="dxa"/>
              <w:bottom w:w="60" w:type="dxa"/>
              <w:right w:w="90" w:type="dxa"/>
            </w:tcMar>
          </w:tcPr>
          <w:p>
            <w:pPr>
              <w:spacing w:after="0"/>
            </w:pPr>
            <w:r>
              <w:rPr>
                <w:sz w:val="19"/>
              </w:rPr>
              <w:t>Refresh MFA, vulnerability and training reports; reconcile leavers</w:t>
            </w:r>
          </w:p>
        </w:tc>
      </w:tr>
      <w:tr>
        <w:trPr>
          <w:cantSplit w:val="true"/>
        </w:trPr>
        <w:tc>
          <w:tcPr>
            <w:tcW w:type="dxa" w:w="2293"/>
            <w:tcMar>
              <w:top w:w="60" w:type="dxa"/>
              <w:left w:w="90" w:type="dxa"/>
              <w:bottom w:w="60" w:type="dxa"/>
              <w:right w:w="90" w:type="dxa"/>
            </w:tcMar>
            <w:shd w:val="clear" w:color="auto" w:fill="F2F7F6"/>
          </w:tcPr>
          <w:p>
            <w:pPr>
              <w:spacing w:after="0"/>
            </w:pPr>
            <w:r>
              <w:rPr>
                <w:sz w:val="19"/>
              </w:rPr>
              <w:t>Quarterly</w:t>
            </w:r>
          </w:p>
        </w:tc>
        <w:tc>
          <w:tcPr>
            <w:tcW w:type="dxa" w:w="7345"/>
            <w:tcMar>
              <w:top w:w="60" w:type="dxa"/>
              <w:left w:w="90" w:type="dxa"/>
              <w:bottom w:w="60" w:type="dxa"/>
              <w:right w:w="90" w:type="dxa"/>
            </w:tcMar>
            <w:shd w:val="clear" w:color="auto" w:fill="F2F7F6"/>
          </w:tcPr>
          <w:p>
            <w:pPr>
              <w:spacing w:after="0"/>
            </w:pPr>
            <w:r>
              <w:rPr>
                <w:sz w:val="19"/>
              </w:rPr>
              <w:t>Privileged access review; supplier check; exposure review; renew expiring evidence</w:t>
            </w:r>
          </w:p>
        </w:tc>
      </w:tr>
      <w:tr>
        <w:trPr>
          <w:cantSplit w:val="true"/>
        </w:trPr>
        <w:tc>
          <w:tcPr>
            <w:tcW w:type="dxa" w:w="2293"/>
            <w:tcMar>
              <w:top w:w="60" w:type="dxa"/>
              <w:left w:w="90" w:type="dxa"/>
              <w:bottom w:w="60" w:type="dxa"/>
              <w:right w:w="90" w:type="dxa"/>
            </w:tcMar>
          </w:tcPr>
          <w:p>
            <w:pPr>
              <w:spacing w:after="0"/>
            </w:pPr>
            <w:r>
              <w:rPr>
                <w:sz w:val="19"/>
              </w:rPr>
              <w:t>Every 6 months</w:t>
            </w:r>
          </w:p>
        </w:tc>
        <w:tc>
          <w:tcPr>
            <w:tcW w:type="dxa" w:w="7345"/>
            <w:tcMar>
              <w:top w:w="60" w:type="dxa"/>
              <w:left w:w="90" w:type="dxa"/>
              <w:bottom w:w="60" w:type="dxa"/>
              <w:right w:w="90" w:type="dxa"/>
            </w:tcMar>
          </w:tcPr>
          <w:p>
            <w:pPr>
              <w:spacing w:after="0"/>
            </w:pPr>
            <w:r>
              <w:rPr>
                <w:sz w:val="19"/>
              </w:rPr>
              <w:t>Physical access list review; privacy rights and consent sample</w:t>
            </w:r>
          </w:p>
        </w:tc>
      </w:tr>
      <w:tr>
        <w:trPr>
          <w:cantSplit w:val="true"/>
        </w:trPr>
        <w:tc>
          <w:tcPr>
            <w:tcW w:type="dxa" w:w="2293"/>
            <w:tcMar>
              <w:top w:w="60" w:type="dxa"/>
              <w:left w:w="90" w:type="dxa"/>
              <w:bottom w:w="60" w:type="dxa"/>
              <w:right w:w="90" w:type="dxa"/>
            </w:tcMar>
            <w:shd w:val="clear" w:color="auto" w:fill="F2F7F6"/>
          </w:tcPr>
          <w:p>
            <w:pPr>
              <w:spacing w:after="0"/>
            </w:pPr>
            <w:r>
              <w:rPr>
                <w:sz w:val="19"/>
              </w:rPr>
              <w:t>Yearly</w:t>
            </w:r>
          </w:p>
        </w:tc>
        <w:tc>
          <w:tcPr>
            <w:tcW w:type="dxa" w:w="7345"/>
            <w:tcMar>
              <w:top w:w="60" w:type="dxa"/>
              <w:left w:w="90" w:type="dxa"/>
              <w:bottom w:w="60" w:type="dxa"/>
              <w:right w:w="90" w:type="dxa"/>
            </w:tcMar>
            <w:shd w:val="clear" w:color="auto" w:fill="F2F7F6"/>
          </w:tcPr>
          <w:p>
            <w:pPr>
              <w:spacing w:after="0"/>
            </w:pPr>
            <w:r>
              <w:rPr>
                <w:sz w:val="19"/>
              </w:rPr>
              <w:t>Policy review; restore test; incident exercise; supplier assessments; full re-assessment and report</w:t>
            </w:r>
          </w:p>
        </w:tc>
      </w:tr>
      <w:tr>
        <w:trPr>
          <w:cantSplit w:val="true"/>
        </w:trPr>
        <w:tc>
          <w:tcPr>
            <w:tcW w:type="dxa" w:w="2293"/>
            <w:tcMar>
              <w:top w:w="60" w:type="dxa"/>
              <w:left w:w="90" w:type="dxa"/>
              <w:bottom w:w="60" w:type="dxa"/>
              <w:right w:w="90" w:type="dxa"/>
            </w:tcMar>
          </w:tcPr>
          <w:p>
            <w:pPr>
              <w:spacing w:after="0"/>
            </w:pPr>
            <w:r>
              <w:rPr>
                <w:sz w:val="19"/>
              </w:rPr>
              <w:t>On change</w:t>
            </w:r>
          </w:p>
        </w:tc>
        <w:tc>
          <w:tcPr>
            <w:tcW w:type="dxa" w:w="7345"/>
            <w:tcMar>
              <w:top w:w="60" w:type="dxa"/>
              <w:left w:w="90" w:type="dxa"/>
              <w:bottom w:w="60" w:type="dxa"/>
              <w:right w:w="90" w:type="dxa"/>
            </w:tcMar>
          </w:tcPr>
          <w:p>
            <w:pPr>
              <w:spacing w:after="0"/>
            </w:pPr>
            <w:r>
              <w:rPr>
                <w:sz w:val="19"/>
              </w:rPr>
              <w:t>Re-run affected checks after any new system, supplier, site or law change</w:t>
            </w:r>
          </w:p>
        </w:tc>
      </w:tr>
    </w:tbl>
    <w:p>
      <w:pPr>
        <w:spacing w:after="40"/>
      </w:pPr>
    </w:p>
    <w:p>
      <w:pPr>
        <w:pStyle w:val="Heading2"/>
      </w:pPr>
      <w:r>
        <w:t>12. Known limits (so nobody over-claims)</w:t>
      </w:r>
    </w:p>
    <w:p>
      <w:pPr>
        <w:pStyle w:val="ListBullet"/>
        <w:spacing w:after="60"/>
      </w:pPr>
      <w:r>
        <w:t>Only 10 of the 22 controls have an automated check. The rest rely on uploaded evidence and human review.</w:t>
      </w:r>
    </w:p>
    <w:p>
      <w:pPr>
        <w:pStyle w:val="ListBullet"/>
        <w:spacing w:after="60"/>
      </w:pPr>
      <w:r>
        <w:t>Each pack covers a selected group of requirements, not the full standard (for example 12 ISO Annex A controls, 6 SOC 2 groups).</w:t>
      </w:r>
    </w:p>
    <w:p>
      <w:pPr>
        <w:pStyle w:val="ListBullet"/>
        <w:spacing w:after="60"/>
      </w:pPr>
      <w:r>
        <w:t>AssureLoom does not replace an audit by an accredited body.</w:t>
      </w:r>
    </w:p>
    <w:sectPr w:rsidR="00FC693F" w:rsidRPr="0006063C" w:rsidSect="00034616">
      <w:headerReference w:type="default" r:id="rId9"/>
      <w:footerReference w:type="default" r:id="rId10"/>
      <w:pgSz w:w="11906" w:h="16838"/>
      <w:pgMar w:top="1247" w:right="1134" w:bottom="1134"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56B"/>
        <w:sz w:val="17"/>
      </w:rPr>
      <w:t xml:space="preserve">Confidential. Readiness guidance, not a certification.   Page </w:t>
    </w:r>
    <w:r>
      <w:rPr>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656B"/>
        <w:sz w:val="17"/>
      </w:rPr>
      <w:t>AssureLoom  |  Compliance Assessment SOP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b/>
      <w:bCs/>
      <w:color w:val="0B3B3C"/>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ascii="Calibri" w:hAnsi="Calibri" w:eastAsia="Calibri"/>
      <w:b/>
      <w:bCs/>
      <w:color w:val="0B3B3C"/>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0B3B3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AssureLoom Compliance Assessment SOP</dc:title>
  <dc:subject>Framework assessment, evidence and validation</dc:subject>
  <dc:creator>Deepanshu Sharma</dc:creator>
  <cp:keywords/>
  <dc:description>generated by python-docx</dc:description>
  <cp:lastModifiedBy/>
  <cp:revision>1</cp:revision>
  <dcterms:created xsi:type="dcterms:W3CDTF">2013-12-23T23:15:00Z</dcterms:created>
  <dcterms:modified xsi:type="dcterms:W3CDTF">2013-12-23T23:15:00Z</dcterms:modified>
  <cp:category/>
</cp:coreProperties>
</file>